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CAA8" w14:textId="72B1D34A" w:rsidR="0055394B" w:rsidRPr="001363A8" w:rsidRDefault="003F0A0C" w:rsidP="001363A8">
      <w:pPr>
        <w:spacing w:after="0"/>
        <w:rPr>
          <w:rFonts w:ascii="Century Gothic" w:hAnsi="Century Gothic"/>
          <w:b/>
          <w:bCs/>
          <w:sz w:val="20"/>
          <w:szCs w:val="20"/>
        </w:rPr>
      </w:pPr>
      <w:r w:rsidRPr="001363A8">
        <w:rPr>
          <w:rFonts w:ascii="Century Gothic" w:hAnsi="Century Gothic"/>
          <w:b/>
          <w:bCs/>
          <w:sz w:val="20"/>
          <w:szCs w:val="20"/>
        </w:rPr>
        <w:t xml:space="preserve">Report on </w:t>
      </w:r>
      <w:r w:rsidR="0055394B" w:rsidRPr="001363A8">
        <w:rPr>
          <w:rFonts w:ascii="Century Gothic" w:hAnsi="Century Gothic"/>
          <w:b/>
          <w:bCs/>
          <w:sz w:val="20"/>
          <w:szCs w:val="20"/>
        </w:rPr>
        <w:t>Guidelines for Student Evaluations of Course Experiences: Process and Forms</w:t>
      </w:r>
    </w:p>
    <w:p w14:paraId="5B484BF5" w14:textId="6ECAD297" w:rsidR="003F0A0C" w:rsidRPr="001363A8" w:rsidRDefault="003F0A0C" w:rsidP="003F0A0C">
      <w:pPr>
        <w:spacing w:after="0"/>
        <w:rPr>
          <w:rFonts w:ascii="Century Gothic" w:hAnsi="Century Gothic"/>
          <w:sz w:val="20"/>
          <w:szCs w:val="20"/>
        </w:rPr>
      </w:pPr>
      <w:r w:rsidRPr="001363A8">
        <w:rPr>
          <w:rFonts w:ascii="Century Gothic" w:hAnsi="Century Gothic"/>
          <w:sz w:val="20"/>
          <w:szCs w:val="20"/>
        </w:rPr>
        <w:t>Date: April 28, 2026</w:t>
      </w:r>
    </w:p>
    <w:p w14:paraId="49E8006E" w14:textId="480B18E0" w:rsidR="003F0A0C" w:rsidRDefault="003F0A0C" w:rsidP="0055394B">
      <w:pPr>
        <w:rPr>
          <w:rFonts w:ascii="Century Gothic" w:hAnsi="Century Gothic"/>
          <w:b/>
          <w:bCs/>
          <w:sz w:val="20"/>
          <w:szCs w:val="20"/>
        </w:rPr>
      </w:pPr>
      <w:r w:rsidRPr="001363A8">
        <w:rPr>
          <w:rFonts w:ascii="Century Gothic" w:hAnsi="Century Gothic"/>
          <w:sz w:val="20"/>
          <w:szCs w:val="20"/>
        </w:rPr>
        <w:t>From: Academic</w:t>
      </w:r>
      <w:r>
        <w:rPr>
          <w:rFonts w:ascii="Century Gothic" w:hAnsi="Century Gothic"/>
          <w:sz w:val="20"/>
          <w:szCs w:val="20"/>
        </w:rPr>
        <w:t xml:space="preserve"> Standards and Policies Committee (ASPC)</w:t>
      </w:r>
    </w:p>
    <w:p w14:paraId="10291CA6" w14:textId="2A27AE5D" w:rsidR="001363A8" w:rsidRPr="001363A8" w:rsidRDefault="0055394B" w:rsidP="001363A8">
      <w:pPr>
        <w:spacing w:after="0"/>
        <w:rPr>
          <w:rFonts w:ascii="Century Gothic" w:hAnsi="Century Gothic"/>
          <w:sz w:val="20"/>
          <w:szCs w:val="20"/>
        </w:rPr>
      </w:pPr>
      <w:r>
        <w:rPr>
          <w:rFonts w:ascii="Century Gothic" w:hAnsi="Century Gothic"/>
          <w:b/>
          <w:bCs/>
          <w:sz w:val="20"/>
          <w:szCs w:val="20"/>
        </w:rPr>
        <w:t>P</w:t>
      </w:r>
      <w:r w:rsidRPr="00CF1016">
        <w:rPr>
          <w:rFonts w:ascii="Century Gothic" w:hAnsi="Century Gothic"/>
          <w:b/>
          <w:bCs/>
          <w:sz w:val="20"/>
          <w:szCs w:val="20"/>
        </w:rPr>
        <w:t>rocess</w:t>
      </w:r>
    </w:p>
    <w:p w14:paraId="790673CB" w14:textId="1D7B9F95" w:rsidR="001363A8" w:rsidRPr="001363A8" w:rsidRDefault="001363A8" w:rsidP="001363A8">
      <w:pPr>
        <w:rPr>
          <w:rFonts w:ascii="Century Gothic" w:hAnsi="Century Gothic"/>
          <w:sz w:val="20"/>
          <w:szCs w:val="20"/>
        </w:rPr>
      </w:pPr>
      <w:r w:rsidRPr="001363A8">
        <w:rPr>
          <w:rFonts w:ascii="Century Gothic" w:hAnsi="Century Gothic"/>
          <w:sz w:val="20"/>
          <w:szCs w:val="20"/>
        </w:rPr>
        <w:t>Following a</w:t>
      </w:r>
      <w:r w:rsidR="00251E46">
        <w:rPr>
          <w:rFonts w:ascii="Century Gothic" w:hAnsi="Century Gothic"/>
          <w:sz w:val="20"/>
          <w:szCs w:val="20"/>
        </w:rPr>
        <w:t xml:space="preserve"> quick</w:t>
      </w:r>
      <w:r w:rsidRPr="001363A8">
        <w:rPr>
          <w:rFonts w:ascii="Century Gothic" w:hAnsi="Century Gothic"/>
          <w:sz w:val="20"/>
          <w:szCs w:val="20"/>
        </w:rPr>
        <w:t xml:space="preserve"> transition to interim committee leadership, ASPC was asked by the Senate Chair and Senate Executive Committee to provide a recommendation</w:t>
      </w:r>
      <w:r w:rsidR="006C42C7">
        <w:rPr>
          <w:rFonts w:ascii="Century Gothic" w:hAnsi="Century Gothic"/>
          <w:sz w:val="20"/>
          <w:szCs w:val="20"/>
        </w:rPr>
        <w:t xml:space="preserve"> </w:t>
      </w:r>
      <w:r w:rsidRPr="001363A8">
        <w:rPr>
          <w:rFonts w:ascii="Century Gothic" w:hAnsi="Century Gothic"/>
          <w:sz w:val="20"/>
          <w:szCs w:val="20"/>
        </w:rPr>
        <w:t>as to whether the document is ready to move forward to a Senate vote before the end of the current term. The document had been developed during the previous academic year.</w:t>
      </w:r>
    </w:p>
    <w:p w14:paraId="2643A559" w14:textId="5FA71C65" w:rsidR="001363A8" w:rsidRDefault="001363A8" w:rsidP="001363A8">
      <w:pPr>
        <w:rPr>
          <w:rFonts w:ascii="Century Gothic" w:hAnsi="Century Gothic"/>
          <w:sz w:val="20"/>
          <w:szCs w:val="20"/>
        </w:rPr>
      </w:pPr>
      <w:r w:rsidRPr="001363A8">
        <w:rPr>
          <w:rFonts w:ascii="Century Gothic" w:hAnsi="Century Gothic"/>
          <w:sz w:val="20"/>
          <w:szCs w:val="20"/>
        </w:rPr>
        <w:t xml:space="preserve">Due to the </w:t>
      </w:r>
      <w:r w:rsidR="00852627">
        <w:rPr>
          <w:rFonts w:ascii="Century Gothic" w:hAnsi="Century Gothic"/>
          <w:sz w:val="20"/>
          <w:szCs w:val="20"/>
        </w:rPr>
        <w:t>expedited timeline</w:t>
      </w:r>
      <w:r w:rsidRPr="001363A8">
        <w:rPr>
          <w:rFonts w:ascii="Century Gothic" w:hAnsi="Century Gothic"/>
          <w:sz w:val="20"/>
          <w:szCs w:val="20"/>
        </w:rPr>
        <w:t xml:space="preserve">, ASPC conducted an asynchronous review rather than a formal meeting, gathering feedback through written comments and a brief poll. Initial circulation occurred with limited clarity regarding the document’s authorship and prior review history; this was subsequently clarified </w:t>
      </w:r>
      <w:r>
        <w:rPr>
          <w:rFonts w:ascii="Century Gothic" w:hAnsi="Century Gothic"/>
          <w:sz w:val="20"/>
          <w:szCs w:val="20"/>
        </w:rPr>
        <w:t>toward the end of</w:t>
      </w:r>
      <w:r w:rsidRPr="001363A8">
        <w:rPr>
          <w:rFonts w:ascii="Century Gothic" w:hAnsi="Century Gothic"/>
          <w:sz w:val="20"/>
          <w:szCs w:val="20"/>
        </w:rPr>
        <w:t xml:space="preserve"> the review process.</w:t>
      </w:r>
    </w:p>
    <w:p w14:paraId="33E7B044" w14:textId="1646E057" w:rsidR="0055394B" w:rsidRPr="006077F5" w:rsidRDefault="0055394B" w:rsidP="001363A8">
      <w:pPr>
        <w:rPr>
          <w:rFonts w:ascii="Century Gothic" w:hAnsi="Century Gothic"/>
          <w:sz w:val="20"/>
          <w:szCs w:val="20"/>
        </w:rPr>
      </w:pPr>
      <w:r w:rsidRPr="006077F5">
        <w:rPr>
          <w:rFonts w:ascii="Century Gothic" w:hAnsi="Century Gothic"/>
          <w:b/>
          <w:bCs/>
          <w:sz w:val="20"/>
          <w:szCs w:val="20"/>
        </w:rPr>
        <w:t xml:space="preserve">Committee </w:t>
      </w:r>
      <w:r w:rsidR="001363A8">
        <w:rPr>
          <w:rFonts w:ascii="Century Gothic" w:hAnsi="Century Gothic"/>
          <w:b/>
          <w:bCs/>
          <w:sz w:val="20"/>
          <w:szCs w:val="20"/>
        </w:rPr>
        <w:t>F</w:t>
      </w:r>
      <w:r w:rsidRPr="006077F5">
        <w:rPr>
          <w:rFonts w:ascii="Century Gothic" w:hAnsi="Century Gothic"/>
          <w:b/>
          <w:bCs/>
          <w:sz w:val="20"/>
          <w:szCs w:val="20"/>
        </w:rPr>
        <w:t>eedback (</w:t>
      </w:r>
      <w:r w:rsidR="001363A8">
        <w:rPr>
          <w:rFonts w:ascii="Century Gothic" w:hAnsi="Century Gothic"/>
          <w:b/>
          <w:bCs/>
          <w:sz w:val="20"/>
          <w:szCs w:val="20"/>
        </w:rPr>
        <w:t>P</w:t>
      </w:r>
      <w:r w:rsidRPr="006077F5">
        <w:rPr>
          <w:rFonts w:ascii="Century Gothic" w:hAnsi="Century Gothic"/>
          <w:b/>
          <w:bCs/>
          <w:sz w:val="20"/>
          <w:szCs w:val="20"/>
        </w:rPr>
        <w:t xml:space="preserve">oll </w:t>
      </w:r>
      <w:r w:rsidR="001363A8">
        <w:rPr>
          <w:rFonts w:ascii="Century Gothic" w:hAnsi="Century Gothic"/>
          <w:b/>
          <w:bCs/>
          <w:sz w:val="20"/>
          <w:szCs w:val="20"/>
        </w:rPr>
        <w:t>R</w:t>
      </w:r>
      <w:r w:rsidRPr="006077F5">
        <w:rPr>
          <w:rFonts w:ascii="Century Gothic" w:hAnsi="Century Gothic"/>
          <w:b/>
          <w:bCs/>
          <w:sz w:val="20"/>
          <w:szCs w:val="20"/>
        </w:rPr>
        <w:t>esults):</w:t>
      </w:r>
      <w:r w:rsidRPr="006077F5">
        <w:rPr>
          <w:rFonts w:ascii="Century Gothic" w:hAnsi="Century Gothic"/>
          <w:sz w:val="20"/>
          <w:szCs w:val="20"/>
        </w:rPr>
        <w:br/>
        <w:t>Of 1</w:t>
      </w:r>
      <w:r>
        <w:rPr>
          <w:rFonts w:ascii="Century Gothic" w:hAnsi="Century Gothic"/>
          <w:sz w:val="20"/>
          <w:szCs w:val="20"/>
        </w:rPr>
        <w:t>4</w:t>
      </w:r>
      <w:r w:rsidRPr="006077F5">
        <w:rPr>
          <w:rFonts w:ascii="Century Gothic" w:hAnsi="Century Gothic"/>
          <w:sz w:val="20"/>
          <w:szCs w:val="20"/>
        </w:rPr>
        <w:t xml:space="preserve"> active members polled, </w:t>
      </w:r>
      <w:r w:rsidR="00000DBC">
        <w:rPr>
          <w:rFonts w:ascii="Century Gothic" w:hAnsi="Century Gothic"/>
          <w:sz w:val="20"/>
          <w:szCs w:val="20"/>
        </w:rPr>
        <w:t>11</w:t>
      </w:r>
      <w:r w:rsidRPr="006077F5">
        <w:rPr>
          <w:rFonts w:ascii="Century Gothic" w:hAnsi="Century Gothic"/>
          <w:sz w:val="20"/>
          <w:szCs w:val="20"/>
        </w:rPr>
        <w:t xml:space="preserve"> responded:</w:t>
      </w:r>
    </w:p>
    <w:p w14:paraId="5A61F633" w14:textId="69501D1C" w:rsidR="0055394B" w:rsidRPr="006077F5" w:rsidRDefault="00965A74" w:rsidP="001363A8">
      <w:pPr>
        <w:numPr>
          <w:ilvl w:val="0"/>
          <w:numId w:val="1"/>
        </w:numPr>
        <w:spacing w:after="0"/>
        <w:rPr>
          <w:rFonts w:ascii="Century Gothic" w:hAnsi="Century Gothic"/>
          <w:sz w:val="20"/>
          <w:szCs w:val="20"/>
        </w:rPr>
      </w:pPr>
      <w:r>
        <w:rPr>
          <w:rFonts w:ascii="Century Gothic" w:hAnsi="Century Gothic"/>
          <w:sz w:val="20"/>
          <w:szCs w:val="20"/>
        </w:rPr>
        <w:t>3</w:t>
      </w:r>
      <w:r w:rsidR="0055394B" w:rsidRPr="006077F5">
        <w:rPr>
          <w:rFonts w:ascii="Century Gothic" w:hAnsi="Century Gothic"/>
          <w:sz w:val="20"/>
          <w:szCs w:val="20"/>
        </w:rPr>
        <w:t xml:space="preserve"> indicated readiness to move forward to a Senate vote </w:t>
      </w:r>
    </w:p>
    <w:p w14:paraId="7B2ED6AB" w14:textId="74A913F8" w:rsidR="0055394B" w:rsidRPr="006077F5" w:rsidRDefault="00965A74" w:rsidP="001363A8">
      <w:pPr>
        <w:numPr>
          <w:ilvl w:val="0"/>
          <w:numId w:val="1"/>
        </w:numPr>
        <w:spacing w:after="0"/>
        <w:rPr>
          <w:rFonts w:ascii="Century Gothic" w:hAnsi="Century Gothic"/>
          <w:sz w:val="20"/>
          <w:szCs w:val="20"/>
        </w:rPr>
      </w:pPr>
      <w:r>
        <w:rPr>
          <w:rFonts w:ascii="Century Gothic" w:hAnsi="Century Gothic"/>
          <w:sz w:val="20"/>
          <w:szCs w:val="20"/>
        </w:rPr>
        <w:t>4</w:t>
      </w:r>
      <w:r w:rsidR="0055394B" w:rsidRPr="006077F5">
        <w:rPr>
          <w:rFonts w:ascii="Century Gothic" w:hAnsi="Century Gothic"/>
          <w:sz w:val="20"/>
          <w:szCs w:val="20"/>
        </w:rPr>
        <w:t xml:space="preserve"> supported moving forward with minor revisions </w:t>
      </w:r>
    </w:p>
    <w:p w14:paraId="4EEE5DA6" w14:textId="77777777" w:rsidR="0055394B" w:rsidRPr="006077F5" w:rsidRDefault="0055394B" w:rsidP="0055394B">
      <w:pPr>
        <w:numPr>
          <w:ilvl w:val="0"/>
          <w:numId w:val="1"/>
        </w:numPr>
        <w:rPr>
          <w:rFonts w:ascii="Century Gothic" w:hAnsi="Century Gothic"/>
          <w:sz w:val="20"/>
          <w:szCs w:val="20"/>
        </w:rPr>
      </w:pPr>
      <w:r w:rsidRPr="006077F5">
        <w:rPr>
          <w:rFonts w:ascii="Century Gothic" w:hAnsi="Century Gothic"/>
          <w:sz w:val="20"/>
          <w:szCs w:val="20"/>
        </w:rPr>
        <w:t xml:space="preserve">4 indicated the document needs substantive revision before proceeding </w:t>
      </w:r>
    </w:p>
    <w:p w14:paraId="298B8924" w14:textId="77777777" w:rsidR="0055394B" w:rsidRPr="006077F5" w:rsidRDefault="0055394B" w:rsidP="0055394B">
      <w:pPr>
        <w:rPr>
          <w:rFonts w:ascii="Century Gothic" w:hAnsi="Century Gothic"/>
          <w:sz w:val="20"/>
          <w:szCs w:val="20"/>
        </w:rPr>
      </w:pPr>
      <w:r w:rsidRPr="006077F5">
        <w:rPr>
          <w:rFonts w:ascii="Century Gothic" w:hAnsi="Century Gothic"/>
          <w:sz w:val="20"/>
          <w:szCs w:val="20"/>
        </w:rPr>
        <w:t xml:space="preserve">Overall, responses suggest a preference for further revision. </w:t>
      </w:r>
    </w:p>
    <w:p w14:paraId="6918E9C4" w14:textId="4270FAA9" w:rsidR="0055394B" w:rsidRPr="006077F5" w:rsidRDefault="0055394B" w:rsidP="0055394B">
      <w:pPr>
        <w:rPr>
          <w:rFonts w:ascii="Century Gothic" w:hAnsi="Century Gothic"/>
          <w:sz w:val="20"/>
          <w:szCs w:val="20"/>
        </w:rPr>
      </w:pPr>
      <w:r w:rsidRPr="0055394B">
        <w:rPr>
          <w:rFonts w:ascii="Century Gothic" w:hAnsi="Century Gothic"/>
          <w:b/>
          <w:bCs/>
          <w:sz w:val="20"/>
          <w:szCs w:val="20"/>
        </w:rPr>
        <w:t>Authorship and Intent</w:t>
      </w:r>
      <w:r w:rsidRPr="006077F5">
        <w:rPr>
          <w:rFonts w:ascii="Century Gothic" w:hAnsi="Century Gothic"/>
          <w:b/>
          <w:bCs/>
          <w:sz w:val="20"/>
          <w:szCs w:val="20"/>
        </w:rPr>
        <w:t>:</w:t>
      </w:r>
      <w:r w:rsidRPr="006077F5">
        <w:rPr>
          <w:rFonts w:ascii="Century Gothic" w:hAnsi="Century Gothic"/>
          <w:sz w:val="20"/>
          <w:szCs w:val="20"/>
        </w:rPr>
        <w:br/>
      </w:r>
      <w:r>
        <w:rPr>
          <w:rFonts w:ascii="Century Gothic" w:hAnsi="Century Gothic"/>
          <w:sz w:val="20"/>
          <w:szCs w:val="20"/>
        </w:rPr>
        <w:t>The</w:t>
      </w:r>
      <w:r w:rsidRPr="006077F5">
        <w:rPr>
          <w:rFonts w:ascii="Century Gothic" w:hAnsi="Century Gothic"/>
          <w:sz w:val="20"/>
          <w:szCs w:val="20"/>
        </w:rPr>
        <w:t xml:space="preserve"> questions were developed </w:t>
      </w:r>
      <w:r>
        <w:rPr>
          <w:rFonts w:ascii="Century Gothic" w:hAnsi="Century Gothic"/>
          <w:sz w:val="20"/>
          <w:szCs w:val="20"/>
        </w:rPr>
        <w:t>in the previous academic year</w:t>
      </w:r>
      <w:r w:rsidRPr="006077F5">
        <w:rPr>
          <w:rFonts w:ascii="Century Gothic" w:hAnsi="Century Gothic"/>
          <w:sz w:val="20"/>
          <w:szCs w:val="20"/>
        </w:rPr>
        <w:t xml:space="preserve"> by an Ad Hoc Committee on Faculty Affairs (Laura Baecher, Mia Zamora, Efe </w:t>
      </w:r>
      <w:proofErr w:type="spellStart"/>
      <w:r w:rsidRPr="006077F5">
        <w:rPr>
          <w:rFonts w:ascii="Century Gothic" w:hAnsi="Century Gothic"/>
          <w:sz w:val="20"/>
          <w:szCs w:val="20"/>
        </w:rPr>
        <w:t>Kutuk</w:t>
      </w:r>
      <w:proofErr w:type="spellEnd"/>
      <w:r w:rsidRPr="006077F5">
        <w:rPr>
          <w:rFonts w:ascii="Century Gothic" w:hAnsi="Century Gothic"/>
          <w:sz w:val="20"/>
          <w:szCs w:val="20"/>
        </w:rPr>
        <w:t xml:space="preserve">, Sucheta Ahlawat, and Don Marks), in collaboration with Susan Ahern from OAA. </w:t>
      </w:r>
      <w:r>
        <w:rPr>
          <w:rFonts w:ascii="Century Gothic" w:hAnsi="Century Gothic"/>
          <w:sz w:val="20"/>
          <w:szCs w:val="20"/>
        </w:rPr>
        <w:t>Dr. Baecher shared that a</w:t>
      </w:r>
      <w:r w:rsidRPr="006077F5">
        <w:rPr>
          <w:rFonts w:ascii="Century Gothic" w:hAnsi="Century Gothic"/>
          <w:sz w:val="20"/>
          <w:szCs w:val="20"/>
        </w:rPr>
        <w:t xml:space="preserve"> goal</w:t>
      </w:r>
      <w:r>
        <w:rPr>
          <w:rFonts w:ascii="Century Gothic" w:hAnsi="Century Gothic"/>
          <w:sz w:val="20"/>
          <w:szCs w:val="20"/>
        </w:rPr>
        <w:t xml:space="preserve"> of the revision</w:t>
      </w:r>
      <w:r w:rsidRPr="006077F5">
        <w:rPr>
          <w:rFonts w:ascii="Century Gothic" w:hAnsi="Century Gothic"/>
          <w:sz w:val="20"/>
          <w:szCs w:val="20"/>
        </w:rPr>
        <w:t xml:space="preserve"> </w:t>
      </w:r>
      <w:r>
        <w:rPr>
          <w:rFonts w:ascii="Century Gothic" w:hAnsi="Century Gothic"/>
          <w:sz w:val="20"/>
          <w:szCs w:val="20"/>
        </w:rPr>
        <w:t xml:space="preserve">is </w:t>
      </w:r>
      <w:r w:rsidRPr="006077F5">
        <w:rPr>
          <w:rFonts w:ascii="Century Gothic" w:hAnsi="Century Gothic"/>
          <w:sz w:val="20"/>
          <w:szCs w:val="20"/>
        </w:rPr>
        <w:t xml:space="preserve">to align </w:t>
      </w:r>
      <w:r>
        <w:rPr>
          <w:rFonts w:ascii="Century Gothic" w:hAnsi="Century Gothic"/>
          <w:sz w:val="20"/>
          <w:szCs w:val="20"/>
        </w:rPr>
        <w:t xml:space="preserve">student </w:t>
      </w:r>
      <w:r w:rsidRPr="006077F5">
        <w:rPr>
          <w:rFonts w:ascii="Century Gothic" w:hAnsi="Century Gothic"/>
          <w:sz w:val="20"/>
          <w:szCs w:val="20"/>
        </w:rPr>
        <w:t xml:space="preserve">course evaluations with the updated Peer Observation tool, which </w:t>
      </w:r>
      <w:r>
        <w:rPr>
          <w:rFonts w:ascii="Century Gothic" w:hAnsi="Century Gothic"/>
          <w:sz w:val="20"/>
          <w:szCs w:val="20"/>
        </w:rPr>
        <w:t xml:space="preserve">the committee understands </w:t>
      </w:r>
      <w:r w:rsidRPr="006077F5">
        <w:rPr>
          <w:rFonts w:ascii="Century Gothic" w:hAnsi="Century Gothic"/>
          <w:sz w:val="20"/>
          <w:szCs w:val="20"/>
        </w:rPr>
        <w:t>is also currently under Senate review.</w:t>
      </w:r>
      <w:r>
        <w:rPr>
          <w:rFonts w:ascii="Century Gothic" w:hAnsi="Century Gothic"/>
          <w:sz w:val="20"/>
          <w:szCs w:val="20"/>
        </w:rPr>
        <w:t xml:space="preserve"> </w:t>
      </w:r>
      <w:r w:rsidRPr="006077F5">
        <w:rPr>
          <w:rFonts w:ascii="Century Gothic" w:hAnsi="Century Gothic"/>
          <w:sz w:val="20"/>
          <w:szCs w:val="20"/>
        </w:rPr>
        <w:t>She has</w:t>
      </w:r>
      <w:r>
        <w:rPr>
          <w:rFonts w:ascii="Century Gothic" w:hAnsi="Century Gothic"/>
          <w:sz w:val="20"/>
          <w:szCs w:val="20"/>
        </w:rPr>
        <w:t xml:space="preserve"> </w:t>
      </w:r>
      <w:r w:rsidRPr="006077F5">
        <w:rPr>
          <w:rFonts w:ascii="Century Gothic" w:hAnsi="Century Gothic"/>
          <w:sz w:val="20"/>
          <w:szCs w:val="20"/>
        </w:rPr>
        <w:t>offered to assist with revisions</w:t>
      </w:r>
      <w:r>
        <w:rPr>
          <w:rFonts w:ascii="Century Gothic" w:hAnsi="Century Gothic"/>
          <w:sz w:val="20"/>
          <w:szCs w:val="20"/>
        </w:rPr>
        <w:t xml:space="preserve"> and respond to committee feedback</w:t>
      </w:r>
      <w:r w:rsidRPr="006077F5">
        <w:rPr>
          <w:rFonts w:ascii="Century Gothic" w:hAnsi="Century Gothic"/>
          <w:sz w:val="20"/>
          <w:szCs w:val="20"/>
        </w:rPr>
        <w:t>.</w:t>
      </w:r>
    </w:p>
    <w:p w14:paraId="7BCCED2D" w14:textId="39CE3346" w:rsidR="0055394B" w:rsidRPr="006077F5" w:rsidRDefault="0055394B" w:rsidP="0055394B">
      <w:pPr>
        <w:rPr>
          <w:rFonts w:ascii="Century Gothic" w:hAnsi="Century Gothic"/>
          <w:sz w:val="20"/>
          <w:szCs w:val="20"/>
        </w:rPr>
      </w:pPr>
      <w:r w:rsidRPr="0055394B">
        <w:rPr>
          <w:rFonts w:ascii="Century Gothic" w:hAnsi="Century Gothic"/>
          <w:b/>
          <w:bCs/>
          <w:sz w:val="20"/>
          <w:szCs w:val="20"/>
        </w:rPr>
        <w:t>Summary of ASPC Feedback</w:t>
      </w:r>
      <w:r w:rsidRPr="006077F5">
        <w:rPr>
          <w:rFonts w:ascii="Century Gothic" w:hAnsi="Century Gothic"/>
          <w:b/>
          <w:bCs/>
          <w:sz w:val="20"/>
          <w:szCs w:val="20"/>
        </w:rPr>
        <w:t>:</w:t>
      </w:r>
      <w:r w:rsidRPr="006077F5">
        <w:rPr>
          <w:rFonts w:ascii="Century Gothic" w:hAnsi="Century Gothic"/>
          <w:sz w:val="20"/>
          <w:szCs w:val="20"/>
        </w:rPr>
        <w:br/>
      </w:r>
      <w:r>
        <w:rPr>
          <w:rFonts w:ascii="Century Gothic" w:hAnsi="Century Gothic"/>
          <w:sz w:val="20"/>
          <w:szCs w:val="20"/>
        </w:rPr>
        <w:t>ASPC</w:t>
      </w:r>
      <w:r w:rsidRPr="006077F5">
        <w:rPr>
          <w:rFonts w:ascii="Century Gothic" w:hAnsi="Century Gothic"/>
          <w:sz w:val="20"/>
          <w:szCs w:val="20"/>
        </w:rPr>
        <w:t xml:space="preserve"> identified several areas that would benefit from revision</w:t>
      </w:r>
      <w:r>
        <w:rPr>
          <w:rFonts w:ascii="Century Gothic" w:hAnsi="Century Gothic"/>
          <w:sz w:val="20"/>
          <w:szCs w:val="20"/>
        </w:rPr>
        <w:t xml:space="preserve">. The following is a summary of comments and does not represent a consensus </w:t>
      </w:r>
      <w:r w:rsidR="003F0A0C" w:rsidRPr="003F0A0C">
        <w:rPr>
          <w:rFonts w:ascii="Century Gothic" w:hAnsi="Century Gothic"/>
          <w:sz w:val="20"/>
          <w:szCs w:val="20"/>
        </w:rPr>
        <w:t>on each individual point</w:t>
      </w:r>
      <w:r w:rsidRPr="006077F5">
        <w:rPr>
          <w:rFonts w:ascii="Century Gothic" w:hAnsi="Century Gothic"/>
          <w:sz w:val="20"/>
          <w:szCs w:val="20"/>
        </w:rPr>
        <w:t>:</w:t>
      </w:r>
    </w:p>
    <w:p w14:paraId="7FB3C38A" w14:textId="77777777" w:rsidR="0055394B" w:rsidRPr="006077F5" w:rsidRDefault="0055394B" w:rsidP="0055394B">
      <w:pPr>
        <w:rPr>
          <w:rFonts w:ascii="Century Gothic" w:hAnsi="Century Gothic"/>
          <w:sz w:val="20"/>
          <w:szCs w:val="20"/>
        </w:rPr>
      </w:pPr>
      <w:r w:rsidRPr="006077F5">
        <w:rPr>
          <w:rFonts w:ascii="Century Gothic" w:hAnsi="Century Gothic"/>
          <w:b/>
          <w:bCs/>
          <w:sz w:val="20"/>
          <w:szCs w:val="20"/>
        </w:rPr>
        <w:t>Purpose and Scope</w:t>
      </w:r>
    </w:p>
    <w:p w14:paraId="7CC723F9" w14:textId="0F971145" w:rsidR="003F0A0C" w:rsidRPr="003F0A0C" w:rsidRDefault="003F0A0C" w:rsidP="003F0A0C">
      <w:pPr>
        <w:numPr>
          <w:ilvl w:val="0"/>
          <w:numId w:val="2"/>
        </w:numPr>
        <w:rPr>
          <w:rFonts w:ascii="Century Gothic" w:hAnsi="Century Gothic"/>
          <w:sz w:val="20"/>
          <w:szCs w:val="20"/>
        </w:rPr>
      </w:pPr>
      <w:r w:rsidRPr="003F0A0C">
        <w:rPr>
          <w:rFonts w:ascii="Century Gothic" w:hAnsi="Century Gothic"/>
          <w:sz w:val="20"/>
          <w:szCs w:val="20"/>
        </w:rPr>
        <w:t xml:space="preserve">Add a clear statement of purpose (what the evaluations are intended to assess and how results will be used). </w:t>
      </w:r>
    </w:p>
    <w:p w14:paraId="6FEE72D9" w14:textId="317E3093" w:rsidR="0055394B" w:rsidRPr="006077F5" w:rsidRDefault="003F0A0C" w:rsidP="003F0A0C">
      <w:pPr>
        <w:numPr>
          <w:ilvl w:val="0"/>
          <w:numId w:val="2"/>
        </w:numPr>
        <w:rPr>
          <w:rFonts w:ascii="Century Gothic" w:hAnsi="Century Gothic"/>
          <w:sz w:val="20"/>
          <w:szCs w:val="20"/>
        </w:rPr>
      </w:pPr>
      <w:r w:rsidRPr="003F0A0C">
        <w:rPr>
          <w:rFonts w:ascii="Century Gothic" w:hAnsi="Century Gothic"/>
          <w:sz w:val="20"/>
          <w:szCs w:val="20"/>
        </w:rPr>
        <w:t>Review language for applicability across modalities (in-person, hybrid, online; e.g., references to in-room practices or communication expectations).</w:t>
      </w:r>
      <w:r w:rsidR="0055394B" w:rsidRPr="006077F5">
        <w:rPr>
          <w:rFonts w:ascii="Century Gothic" w:hAnsi="Century Gothic"/>
          <w:sz w:val="20"/>
          <w:szCs w:val="20"/>
        </w:rPr>
        <w:t xml:space="preserve"> </w:t>
      </w:r>
    </w:p>
    <w:p w14:paraId="29B8D316" w14:textId="77777777" w:rsidR="0055394B" w:rsidRPr="006077F5" w:rsidRDefault="0055394B" w:rsidP="0055394B">
      <w:pPr>
        <w:rPr>
          <w:rFonts w:ascii="Century Gothic" w:hAnsi="Century Gothic"/>
          <w:sz w:val="20"/>
          <w:szCs w:val="20"/>
        </w:rPr>
      </w:pPr>
      <w:r w:rsidRPr="006077F5">
        <w:rPr>
          <w:rFonts w:ascii="Century Gothic" w:hAnsi="Century Gothic"/>
          <w:b/>
          <w:bCs/>
          <w:sz w:val="20"/>
          <w:szCs w:val="20"/>
        </w:rPr>
        <w:t>Structure and Response Scales</w:t>
      </w:r>
    </w:p>
    <w:p w14:paraId="3286CE55" w14:textId="77777777" w:rsidR="0055394B" w:rsidRPr="006077F5" w:rsidRDefault="0055394B" w:rsidP="0055394B">
      <w:pPr>
        <w:numPr>
          <w:ilvl w:val="0"/>
          <w:numId w:val="3"/>
        </w:numPr>
        <w:rPr>
          <w:rFonts w:ascii="Century Gothic" w:hAnsi="Century Gothic"/>
          <w:sz w:val="20"/>
          <w:szCs w:val="20"/>
        </w:rPr>
      </w:pPr>
      <w:r w:rsidRPr="006077F5">
        <w:rPr>
          <w:rFonts w:ascii="Century Gothic" w:hAnsi="Century Gothic"/>
          <w:sz w:val="20"/>
          <w:szCs w:val="20"/>
        </w:rPr>
        <w:t xml:space="preserve">Include a “Not Applicable” option. </w:t>
      </w:r>
    </w:p>
    <w:p w14:paraId="78A65676" w14:textId="77777777" w:rsidR="0055394B" w:rsidRPr="006077F5" w:rsidRDefault="0055394B" w:rsidP="0055394B">
      <w:pPr>
        <w:numPr>
          <w:ilvl w:val="0"/>
          <w:numId w:val="3"/>
        </w:numPr>
        <w:rPr>
          <w:rFonts w:ascii="Century Gothic" w:hAnsi="Century Gothic"/>
          <w:sz w:val="20"/>
          <w:szCs w:val="20"/>
        </w:rPr>
      </w:pPr>
      <w:r w:rsidRPr="006077F5">
        <w:rPr>
          <w:rFonts w:ascii="Century Gothic" w:hAnsi="Century Gothic"/>
          <w:sz w:val="20"/>
          <w:szCs w:val="20"/>
        </w:rPr>
        <w:t xml:space="preserve">Introduce more varied response scales (not all agreement/disagreement; consider satisfaction where appropriate). </w:t>
      </w:r>
    </w:p>
    <w:p w14:paraId="204FE6ED" w14:textId="77777777" w:rsidR="0055394B" w:rsidRPr="006077F5" w:rsidRDefault="0055394B" w:rsidP="0055394B">
      <w:pPr>
        <w:numPr>
          <w:ilvl w:val="0"/>
          <w:numId w:val="3"/>
        </w:numPr>
        <w:rPr>
          <w:rFonts w:ascii="Century Gothic" w:hAnsi="Century Gothic"/>
          <w:sz w:val="20"/>
          <w:szCs w:val="20"/>
        </w:rPr>
      </w:pPr>
      <w:r w:rsidRPr="006077F5">
        <w:rPr>
          <w:rFonts w:ascii="Century Gothic" w:hAnsi="Century Gothic"/>
          <w:sz w:val="20"/>
          <w:szCs w:val="20"/>
        </w:rPr>
        <w:lastRenderedPageBreak/>
        <w:t xml:space="preserve">Ensure consistent and clear scale directionality. </w:t>
      </w:r>
    </w:p>
    <w:p w14:paraId="345AE7E4" w14:textId="77777777" w:rsidR="0055394B" w:rsidRPr="006077F5" w:rsidRDefault="0055394B" w:rsidP="0055394B">
      <w:pPr>
        <w:rPr>
          <w:rFonts w:ascii="Century Gothic" w:hAnsi="Century Gothic"/>
          <w:sz w:val="20"/>
          <w:szCs w:val="20"/>
        </w:rPr>
      </w:pPr>
      <w:r w:rsidRPr="006077F5">
        <w:rPr>
          <w:rFonts w:ascii="Century Gothic" w:hAnsi="Century Gothic"/>
          <w:b/>
          <w:bCs/>
          <w:sz w:val="20"/>
          <w:szCs w:val="20"/>
        </w:rPr>
        <w:t>Question Design and Wording</w:t>
      </w:r>
    </w:p>
    <w:p w14:paraId="1E7EEED8" w14:textId="77777777" w:rsidR="0055394B" w:rsidRPr="006077F5" w:rsidRDefault="0055394B" w:rsidP="0055394B">
      <w:pPr>
        <w:numPr>
          <w:ilvl w:val="0"/>
          <w:numId w:val="4"/>
        </w:numPr>
        <w:rPr>
          <w:rFonts w:ascii="Century Gothic" w:hAnsi="Century Gothic"/>
          <w:sz w:val="20"/>
          <w:szCs w:val="20"/>
        </w:rPr>
      </w:pPr>
      <w:r w:rsidRPr="006077F5">
        <w:rPr>
          <w:rFonts w:ascii="Century Gothic" w:hAnsi="Century Gothic"/>
          <w:sz w:val="20"/>
          <w:szCs w:val="20"/>
        </w:rPr>
        <w:t xml:space="preserve">Revise items for clarity and validity (e.g., “deepened” → “supported/helped/reinforced”; “assessment of knowledge” → “assessment of the course objectives”). </w:t>
      </w:r>
    </w:p>
    <w:p w14:paraId="069DA638" w14:textId="77777777" w:rsidR="0055394B" w:rsidRPr="006077F5" w:rsidRDefault="0055394B" w:rsidP="0055394B">
      <w:pPr>
        <w:numPr>
          <w:ilvl w:val="0"/>
          <w:numId w:val="4"/>
        </w:numPr>
        <w:rPr>
          <w:rFonts w:ascii="Century Gothic" w:hAnsi="Century Gothic"/>
          <w:sz w:val="20"/>
          <w:szCs w:val="20"/>
        </w:rPr>
      </w:pPr>
      <w:r w:rsidRPr="006077F5">
        <w:rPr>
          <w:rFonts w:ascii="Century Gothic" w:hAnsi="Century Gothic"/>
          <w:sz w:val="20"/>
          <w:szCs w:val="20"/>
        </w:rPr>
        <w:t xml:space="preserve">Reframe “profession”-based language to avoid bias across disciplines and course types and levels (e.g., “skills or knowledge I expect to use beyond this class”). Possibly remove the criterion of utility completely, </w:t>
      </w:r>
      <w:r>
        <w:rPr>
          <w:rFonts w:ascii="Century Gothic" w:hAnsi="Century Gothic"/>
          <w:sz w:val="20"/>
          <w:szCs w:val="20"/>
        </w:rPr>
        <w:t>as it may</w:t>
      </w:r>
      <w:r w:rsidRPr="006077F5">
        <w:rPr>
          <w:rFonts w:ascii="Century Gothic" w:hAnsi="Century Gothic"/>
          <w:sz w:val="20"/>
          <w:szCs w:val="20"/>
        </w:rPr>
        <w:t xml:space="preserve"> </w:t>
      </w:r>
      <w:r>
        <w:rPr>
          <w:rFonts w:ascii="Century Gothic" w:hAnsi="Century Gothic"/>
          <w:sz w:val="20"/>
          <w:szCs w:val="20"/>
        </w:rPr>
        <w:t xml:space="preserve">disadvantage foundational </w:t>
      </w:r>
      <w:r w:rsidRPr="006077F5">
        <w:rPr>
          <w:rFonts w:ascii="Century Gothic" w:hAnsi="Century Gothic"/>
          <w:sz w:val="20"/>
          <w:szCs w:val="20"/>
        </w:rPr>
        <w:t xml:space="preserve">courses whose applications are not always </w:t>
      </w:r>
      <w:r>
        <w:rPr>
          <w:rFonts w:ascii="Century Gothic" w:hAnsi="Century Gothic"/>
          <w:sz w:val="20"/>
          <w:szCs w:val="20"/>
        </w:rPr>
        <w:t xml:space="preserve">immediately </w:t>
      </w:r>
      <w:r w:rsidRPr="006077F5">
        <w:rPr>
          <w:rFonts w:ascii="Century Gothic" w:hAnsi="Century Gothic"/>
          <w:sz w:val="20"/>
          <w:szCs w:val="20"/>
        </w:rPr>
        <w:t xml:space="preserve">evident. </w:t>
      </w:r>
    </w:p>
    <w:p w14:paraId="68FE6C56" w14:textId="77777777" w:rsidR="0055394B" w:rsidRPr="006077F5" w:rsidRDefault="0055394B" w:rsidP="0055394B">
      <w:pPr>
        <w:numPr>
          <w:ilvl w:val="0"/>
          <w:numId w:val="4"/>
        </w:numPr>
        <w:rPr>
          <w:rFonts w:ascii="Century Gothic" w:hAnsi="Century Gothic"/>
          <w:sz w:val="20"/>
          <w:szCs w:val="20"/>
        </w:rPr>
      </w:pPr>
      <w:r w:rsidRPr="006077F5">
        <w:rPr>
          <w:rFonts w:ascii="Century Gothic" w:hAnsi="Century Gothic"/>
          <w:sz w:val="20"/>
          <w:szCs w:val="20"/>
        </w:rPr>
        <w:t>Address redundancy and ambiguity across items under Teaching Effectiveness (e.g., overlap between Q3 and Q7</w:t>
      </w:r>
      <w:r>
        <w:rPr>
          <w:rFonts w:ascii="Century Gothic" w:hAnsi="Century Gothic"/>
          <w:sz w:val="20"/>
          <w:szCs w:val="20"/>
        </w:rPr>
        <w:t xml:space="preserve">, and </w:t>
      </w:r>
      <w:r w:rsidRPr="006077F5">
        <w:rPr>
          <w:rFonts w:ascii="Century Gothic" w:hAnsi="Century Gothic"/>
          <w:sz w:val="20"/>
          <w:szCs w:val="20"/>
        </w:rPr>
        <w:t>Q2 and Q10</w:t>
      </w:r>
      <w:r>
        <w:rPr>
          <w:rFonts w:ascii="Century Gothic" w:hAnsi="Century Gothic"/>
          <w:sz w:val="20"/>
          <w:szCs w:val="20"/>
        </w:rPr>
        <w:t xml:space="preserve"> </w:t>
      </w:r>
      <w:r w:rsidRPr="006077F5">
        <w:rPr>
          <w:rFonts w:ascii="Century Gothic" w:hAnsi="Century Gothic"/>
          <w:sz w:val="20"/>
          <w:szCs w:val="20"/>
        </w:rPr>
        <w:t xml:space="preserve">(preference for Q7 </w:t>
      </w:r>
      <w:r>
        <w:rPr>
          <w:rFonts w:ascii="Century Gothic" w:hAnsi="Century Gothic"/>
          <w:sz w:val="20"/>
          <w:szCs w:val="20"/>
        </w:rPr>
        <w:t>and Q10 as</w:t>
      </w:r>
      <w:r w:rsidRPr="006077F5">
        <w:rPr>
          <w:rFonts w:ascii="Century Gothic" w:hAnsi="Century Gothic"/>
          <w:sz w:val="20"/>
          <w:szCs w:val="20"/>
        </w:rPr>
        <w:t xml:space="preserve"> cleaner</w:t>
      </w:r>
      <w:r>
        <w:rPr>
          <w:rFonts w:ascii="Century Gothic" w:hAnsi="Century Gothic"/>
          <w:sz w:val="20"/>
          <w:szCs w:val="20"/>
        </w:rPr>
        <w:t xml:space="preserve"> to interpret; Q5: </w:t>
      </w:r>
      <w:r w:rsidRPr="006077F5">
        <w:rPr>
          <w:rFonts w:ascii="Century Gothic" w:hAnsi="Century Gothic"/>
          <w:sz w:val="20"/>
          <w:szCs w:val="20"/>
        </w:rPr>
        <w:t>“timely”</w:t>
      </w:r>
      <w:r>
        <w:rPr>
          <w:rFonts w:ascii="Century Gothic" w:hAnsi="Century Gothic"/>
          <w:sz w:val="20"/>
          <w:szCs w:val="20"/>
        </w:rPr>
        <w:t xml:space="preserve"> </w:t>
      </w:r>
      <w:r w:rsidRPr="006077F5">
        <w:rPr>
          <w:rFonts w:ascii="Century Gothic" w:hAnsi="Century Gothic"/>
          <w:sz w:val="20"/>
          <w:szCs w:val="20"/>
        </w:rPr>
        <w:t xml:space="preserve">→ </w:t>
      </w:r>
      <w:r w:rsidRPr="005521F1">
        <w:rPr>
          <w:rFonts w:ascii="Century Gothic" w:hAnsi="Century Gothic"/>
          <w:sz w:val="20"/>
          <w:szCs w:val="20"/>
        </w:rPr>
        <w:t>in time to support learning</w:t>
      </w:r>
      <w:r>
        <w:rPr>
          <w:rFonts w:ascii="Century Gothic" w:hAnsi="Century Gothic"/>
          <w:sz w:val="20"/>
          <w:szCs w:val="20"/>
        </w:rPr>
        <w:t>”</w:t>
      </w:r>
      <w:r w:rsidRPr="006077F5">
        <w:rPr>
          <w:rFonts w:ascii="Century Gothic" w:hAnsi="Century Gothic"/>
          <w:sz w:val="20"/>
          <w:szCs w:val="20"/>
        </w:rPr>
        <w:t xml:space="preserve"> </w:t>
      </w:r>
    </w:p>
    <w:p w14:paraId="038F0FB7" w14:textId="77777777" w:rsidR="0055394B" w:rsidRPr="006077F5" w:rsidRDefault="0055394B" w:rsidP="0055394B">
      <w:pPr>
        <w:rPr>
          <w:rFonts w:ascii="Century Gothic" w:hAnsi="Century Gothic"/>
          <w:sz w:val="20"/>
          <w:szCs w:val="20"/>
        </w:rPr>
      </w:pPr>
      <w:r w:rsidRPr="006077F5">
        <w:rPr>
          <w:rFonts w:ascii="Century Gothic" w:hAnsi="Century Gothic"/>
          <w:b/>
          <w:bCs/>
          <w:sz w:val="20"/>
          <w:szCs w:val="20"/>
        </w:rPr>
        <w:t>Implementation and Administration</w:t>
      </w:r>
    </w:p>
    <w:p w14:paraId="225A853F" w14:textId="77777777" w:rsidR="0055394B" w:rsidRPr="006077F5" w:rsidRDefault="0055394B" w:rsidP="0055394B">
      <w:pPr>
        <w:numPr>
          <w:ilvl w:val="0"/>
          <w:numId w:val="5"/>
        </w:numPr>
        <w:rPr>
          <w:rFonts w:ascii="Century Gothic" w:hAnsi="Century Gothic"/>
          <w:sz w:val="20"/>
          <w:szCs w:val="20"/>
        </w:rPr>
      </w:pPr>
      <w:r w:rsidRPr="006077F5">
        <w:rPr>
          <w:rFonts w:ascii="Century Gothic" w:hAnsi="Century Gothic"/>
          <w:sz w:val="20"/>
          <w:szCs w:val="20"/>
        </w:rPr>
        <w:t xml:space="preserve">Reconsider the proposed incentive structure; a 90% response rate may be unrealistic (suggest 75–80%). </w:t>
      </w:r>
    </w:p>
    <w:p w14:paraId="05B68A59" w14:textId="77777777" w:rsidR="0055394B" w:rsidRPr="006077F5" w:rsidRDefault="0055394B" w:rsidP="0055394B">
      <w:pPr>
        <w:numPr>
          <w:ilvl w:val="0"/>
          <w:numId w:val="5"/>
        </w:numPr>
        <w:rPr>
          <w:rFonts w:ascii="Century Gothic" w:hAnsi="Century Gothic"/>
          <w:sz w:val="20"/>
          <w:szCs w:val="20"/>
        </w:rPr>
      </w:pPr>
      <w:r w:rsidRPr="006077F5">
        <w:rPr>
          <w:rFonts w:ascii="Century Gothic" w:hAnsi="Century Gothic"/>
          <w:sz w:val="20"/>
          <w:szCs w:val="20"/>
        </w:rPr>
        <w:t xml:space="preserve">Clarify the purpose of the “expected grade” question. See </w:t>
      </w:r>
      <w:hyperlink r:id="rId5" w:history="1">
        <w:r w:rsidRPr="006077F5">
          <w:rPr>
            <w:rStyle w:val="Hyperlink"/>
            <w:rFonts w:ascii="Century Gothic" w:hAnsi="Century Gothic"/>
            <w:sz w:val="20"/>
            <w:szCs w:val="20"/>
          </w:rPr>
          <w:t>http://faculty.washington.edu/agg/paingain/supplement.html</w:t>
        </w:r>
      </w:hyperlink>
      <w:r w:rsidRPr="006077F5">
        <w:rPr>
          <w:rFonts w:ascii="Century Gothic" w:hAnsi="Century Gothic"/>
          <w:sz w:val="20"/>
          <w:szCs w:val="20"/>
        </w:rPr>
        <w:t xml:space="preserve"> </w:t>
      </w:r>
    </w:p>
    <w:p w14:paraId="46E61E3F" w14:textId="77777777" w:rsidR="0055394B" w:rsidRPr="006077F5" w:rsidRDefault="0055394B" w:rsidP="0055394B">
      <w:pPr>
        <w:numPr>
          <w:ilvl w:val="0"/>
          <w:numId w:val="5"/>
        </w:numPr>
        <w:rPr>
          <w:rFonts w:ascii="Century Gothic" w:hAnsi="Century Gothic"/>
          <w:sz w:val="20"/>
          <w:szCs w:val="20"/>
        </w:rPr>
      </w:pPr>
      <w:r w:rsidRPr="006077F5">
        <w:rPr>
          <w:rFonts w:ascii="Century Gothic" w:hAnsi="Century Gothic"/>
          <w:sz w:val="20"/>
          <w:szCs w:val="20"/>
        </w:rPr>
        <w:t>Consider whether the timing of evaluations (pre- vs. post-final grades) affects reliability. Suggestion to administer evaluations after final grades are available.</w:t>
      </w:r>
    </w:p>
    <w:p w14:paraId="05232D48" w14:textId="77777777" w:rsidR="0055394B" w:rsidRPr="006077F5" w:rsidRDefault="0055394B" w:rsidP="0055394B">
      <w:pPr>
        <w:rPr>
          <w:rFonts w:ascii="Century Gothic" w:hAnsi="Century Gothic"/>
          <w:sz w:val="20"/>
          <w:szCs w:val="20"/>
        </w:rPr>
      </w:pPr>
      <w:r w:rsidRPr="006077F5">
        <w:rPr>
          <w:rFonts w:ascii="Century Gothic" w:hAnsi="Century Gothic"/>
          <w:b/>
          <w:bCs/>
          <w:sz w:val="20"/>
          <w:szCs w:val="20"/>
        </w:rPr>
        <w:t>Retention of Existing Elements</w:t>
      </w:r>
    </w:p>
    <w:p w14:paraId="318CE731" w14:textId="034D00F6" w:rsidR="0055394B" w:rsidRPr="006077F5" w:rsidRDefault="0055394B" w:rsidP="0055394B">
      <w:pPr>
        <w:numPr>
          <w:ilvl w:val="0"/>
          <w:numId w:val="6"/>
        </w:numPr>
        <w:rPr>
          <w:rFonts w:ascii="Century Gothic" w:hAnsi="Century Gothic"/>
          <w:sz w:val="20"/>
          <w:szCs w:val="20"/>
        </w:rPr>
      </w:pPr>
      <w:r w:rsidRPr="005521F1">
        <w:rPr>
          <w:rFonts w:ascii="Century Gothic" w:hAnsi="Century Gothic"/>
          <w:sz w:val="20"/>
          <w:szCs w:val="20"/>
        </w:rPr>
        <w:t>There was</w:t>
      </w:r>
      <w:r>
        <w:rPr>
          <w:rFonts w:ascii="Century Gothic" w:hAnsi="Century Gothic"/>
          <w:sz w:val="20"/>
          <w:szCs w:val="20"/>
        </w:rPr>
        <w:t xml:space="preserve"> </w:t>
      </w:r>
      <w:r w:rsidRPr="006077F5">
        <w:rPr>
          <w:rFonts w:ascii="Century Gothic" w:hAnsi="Century Gothic"/>
          <w:sz w:val="20"/>
          <w:szCs w:val="20"/>
        </w:rPr>
        <w:t xml:space="preserve">a preference to retain the existing </w:t>
      </w:r>
      <w:proofErr w:type="gramStart"/>
      <w:r w:rsidRPr="006077F5">
        <w:rPr>
          <w:rFonts w:ascii="Century Gothic" w:hAnsi="Century Gothic"/>
          <w:sz w:val="20"/>
          <w:szCs w:val="20"/>
        </w:rPr>
        <w:t>evaluation’s</w:t>
      </w:r>
      <w:proofErr w:type="gramEnd"/>
      <w:r w:rsidRPr="006077F5">
        <w:rPr>
          <w:rFonts w:ascii="Century Gothic" w:hAnsi="Century Gothic"/>
          <w:sz w:val="20"/>
          <w:szCs w:val="20"/>
        </w:rPr>
        <w:t xml:space="preserve"> sections</w:t>
      </w:r>
      <w:r w:rsidR="003F0A0C">
        <w:rPr>
          <w:rFonts w:ascii="Century Gothic" w:hAnsi="Century Gothic"/>
          <w:sz w:val="20"/>
          <w:szCs w:val="20"/>
        </w:rPr>
        <w:t xml:space="preserve"> and questions</w:t>
      </w:r>
      <w:r w:rsidRPr="006077F5">
        <w:rPr>
          <w:rFonts w:ascii="Century Gothic" w:hAnsi="Century Gothic"/>
          <w:sz w:val="20"/>
          <w:szCs w:val="20"/>
        </w:rPr>
        <w:t xml:space="preserve"> on Course Outcomes, Student Effort &amp; Involvement, and Course Difficulty/Workload/Pace, </w:t>
      </w:r>
      <w:r w:rsidR="003F0A0C">
        <w:rPr>
          <w:rFonts w:ascii="Century Gothic" w:hAnsi="Century Gothic"/>
          <w:sz w:val="20"/>
          <w:szCs w:val="20"/>
        </w:rPr>
        <w:t>due to</w:t>
      </w:r>
      <w:r w:rsidRPr="006077F5">
        <w:rPr>
          <w:rFonts w:ascii="Century Gothic" w:hAnsi="Century Gothic"/>
          <w:sz w:val="20"/>
          <w:szCs w:val="20"/>
        </w:rPr>
        <w:t xml:space="preserve"> their value for accreditation. </w:t>
      </w:r>
    </w:p>
    <w:p w14:paraId="058E19F2" w14:textId="7BABAABA" w:rsidR="0055394B" w:rsidRPr="006077F5" w:rsidRDefault="0055394B" w:rsidP="0055394B">
      <w:pPr>
        <w:rPr>
          <w:rFonts w:ascii="Century Gothic" w:hAnsi="Century Gothic"/>
          <w:sz w:val="20"/>
          <w:szCs w:val="20"/>
        </w:rPr>
      </w:pPr>
      <w:r w:rsidRPr="006077F5">
        <w:rPr>
          <w:rFonts w:ascii="Century Gothic" w:hAnsi="Century Gothic"/>
          <w:b/>
          <w:bCs/>
          <w:sz w:val="20"/>
          <w:szCs w:val="20"/>
        </w:rPr>
        <w:t>Next steps:</w:t>
      </w:r>
      <w:r w:rsidRPr="006077F5">
        <w:rPr>
          <w:rFonts w:ascii="Century Gothic" w:hAnsi="Century Gothic"/>
          <w:sz w:val="20"/>
          <w:szCs w:val="20"/>
        </w:rPr>
        <w:br/>
      </w:r>
      <w:r w:rsidR="003F0A0C" w:rsidRPr="003F0A0C">
        <w:rPr>
          <w:rFonts w:ascii="Century Gothic" w:hAnsi="Century Gothic"/>
          <w:sz w:val="20"/>
          <w:szCs w:val="20"/>
        </w:rPr>
        <w:t>ASPC’s overall inclination is that there is a need for further deliberation and revision prior to advancing the document for a Senate vote, particularly given the range of perspectives reflected in committee feedback. At the same time, the committee recognizes the prior work of the Ad Hoc Committee on Faculty Affairs and the goal of aligning course evaluations with the Peer Observation tool.</w:t>
      </w:r>
      <w:r w:rsidRPr="006077F5">
        <w:rPr>
          <w:rFonts w:ascii="Century Gothic" w:hAnsi="Century Gothic"/>
          <w:sz w:val="20"/>
          <w:szCs w:val="20"/>
        </w:rPr>
        <w:t xml:space="preserve"> Both the Peer Observation tool and the Course Evaluation are </w:t>
      </w:r>
      <w:r w:rsidRPr="005521F1">
        <w:rPr>
          <w:rFonts w:ascii="Century Gothic" w:hAnsi="Century Gothic"/>
          <w:sz w:val="20"/>
          <w:szCs w:val="20"/>
        </w:rPr>
        <w:t xml:space="preserve">important components in processes related to </w:t>
      </w:r>
      <w:r w:rsidR="001363A8">
        <w:rPr>
          <w:rFonts w:ascii="Century Gothic" w:hAnsi="Century Gothic"/>
          <w:sz w:val="20"/>
          <w:szCs w:val="20"/>
        </w:rPr>
        <w:t xml:space="preserve">faculty </w:t>
      </w:r>
      <w:r w:rsidRPr="005521F1">
        <w:rPr>
          <w:rFonts w:ascii="Century Gothic" w:hAnsi="Century Gothic"/>
          <w:sz w:val="20"/>
          <w:szCs w:val="20"/>
        </w:rPr>
        <w:t>tenure and promotion</w:t>
      </w:r>
      <w:r w:rsidRPr="006077F5">
        <w:rPr>
          <w:rFonts w:ascii="Century Gothic" w:hAnsi="Century Gothic"/>
          <w:sz w:val="20"/>
          <w:szCs w:val="20"/>
        </w:rPr>
        <w:t xml:space="preserve">. </w:t>
      </w:r>
    </w:p>
    <w:p w14:paraId="378615E8" w14:textId="67CA038F" w:rsidR="0055394B" w:rsidRPr="006077F5" w:rsidRDefault="0055394B" w:rsidP="0055394B">
      <w:pPr>
        <w:rPr>
          <w:rFonts w:ascii="Century Gothic" w:hAnsi="Century Gothic"/>
          <w:sz w:val="20"/>
          <w:szCs w:val="20"/>
        </w:rPr>
      </w:pPr>
      <w:r w:rsidRPr="006077F5">
        <w:rPr>
          <w:rFonts w:ascii="Century Gothic" w:hAnsi="Century Gothic"/>
          <w:sz w:val="20"/>
          <w:szCs w:val="20"/>
        </w:rPr>
        <w:t xml:space="preserve">We would appreciate guidance from Senate Exec on how best to proceed, particularly in balancing timely implementation with the </w:t>
      </w:r>
      <w:r>
        <w:rPr>
          <w:rFonts w:ascii="Century Gothic" w:hAnsi="Century Gothic"/>
          <w:sz w:val="20"/>
          <w:szCs w:val="20"/>
        </w:rPr>
        <w:t>need for greater consensus</w:t>
      </w:r>
      <w:r w:rsidRPr="006077F5">
        <w:rPr>
          <w:rFonts w:ascii="Century Gothic" w:hAnsi="Century Gothic"/>
          <w:sz w:val="20"/>
          <w:szCs w:val="20"/>
        </w:rPr>
        <w:t>.</w:t>
      </w:r>
    </w:p>
    <w:p w14:paraId="7525B926" w14:textId="77777777" w:rsidR="003F0A0C" w:rsidRPr="003F0A0C" w:rsidRDefault="003F0A0C" w:rsidP="003F0A0C">
      <w:pPr>
        <w:rPr>
          <w:rFonts w:ascii="Century Gothic" w:hAnsi="Century Gothic"/>
          <w:b/>
          <w:bCs/>
          <w:sz w:val="20"/>
          <w:szCs w:val="20"/>
        </w:rPr>
      </w:pPr>
      <w:r w:rsidRPr="003F0A0C">
        <w:rPr>
          <w:rFonts w:ascii="Century Gothic" w:hAnsi="Century Gothic"/>
          <w:b/>
          <w:bCs/>
          <w:sz w:val="20"/>
          <w:szCs w:val="20"/>
        </w:rPr>
        <w:t>Senate Process Recommendation</w:t>
      </w:r>
    </w:p>
    <w:p w14:paraId="2985EED0" w14:textId="433CE25D" w:rsidR="0055394B" w:rsidRPr="003F0A0C" w:rsidRDefault="003F0A0C" w:rsidP="003F0A0C">
      <w:r w:rsidRPr="003F0A0C">
        <w:rPr>
          <w:rFonts w:ascii="Century Gothic" w:hAnsi="Century Gothic"/>
          <w:sz w:val="20"/>
          <w:szCs w:val="20"/>
        </w:rPr>
        <w:t>ASPC recommends that documents circulated through Senate include a brief cover memo indicating authorship (at least at the committee or office level), prior review steps, and the specific action being requested</w:t>
      </w:r>
    </w:p>
    <w:sectPr w:rsidR="0055394B" w:rsidRPr="003F0A0C" w:rsidSect="00553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B27"/>
    <w:multiLevelType w:val="multilevel"/>
    <w:tmpl w:val="2B10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BD9"/>
    <w:multiLevelType w:val="multilevel"/>
    <w:tmpl w:val="724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06F7A"/>
    <w:multiLevelType w:val="multilevel"/>
    <w:tmpl w:val="B6C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D6627"/>
    <w:multiLevelType w:val="multilevel"/>
    <w:tmpl w:val="600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033AF"/>
    <w:multiLevelType w:val="multilevel"/>
    <w:tmpl w:val="E6B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B57E3"/>
    <w:multiLevelType w:val="multilevel"/>
    <w:tmpl w:val="C74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982264">
    <w:abstractNumId w:val="4"/>
  </w:num>
  <w:num w:numId="2" w16cid:durableId="713193476">
    <w:abstractNumId w:val="2"/>
  </w:num>
  <w:num w:numId="3" w16cid:durableId="1154834910">
    <w:abstractNumId w:val="5"/>
  </w:num>
  <w:num w:numId="4" w16cid:durableId="659233072">
    <w:abstractNumId w:val="3"/>
  </w:num>
  <w:num w:numId="5" w16cid:durableId="970401164">
    <w:abstractNumId w:val="0"/>
  </w:num>
  <w:num w:numId="6" w16cid:durableId="20240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4B"/>
    <w:rsid w:val="00000DBC"/>
    <w:rsid w:val="000F32B2"/>
    <w:rsid w:val="001363A8"/>
    <w:rsid w:val="00251E46"/>
    <w:rsid w:val="003F0A0C"/>
    <w:rsid w:val="0055394B"/>
    <w:rsid w:val="006C42C7"/>
    <w:rsid w:val="00852627"/>
    <w:rsid w:val="0096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8D30"/>
  <w15:chartTrackingRefBased/>
  <w15:docId w15:val="{BE7EA0DB-05D5-4C76-B8E8-4B1CABA7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4B"/>
  </w:style>
  <w:style w:type="paragraph" w:styleId="Heading1">
    <w:name w:val="heading 1"/>
    <w:basedOn w:val="Normal"/>
    <w:next w:val="Normal"/>
    <w:link w:val="Heading1Char"/>
    <w:uiPriority w:val="9"/>
    <w:qFormat/>
    <w:rsid w:val="00553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4B"/>
    <w:rPr>
      <w:rFonts w:eastAsiaTheme="majorEastAsia" w:cstheme="majorBidi"/>
      <w:color w:val="272727" w:themeColor="text1" w:themeTint="D8"/>
    </w:rPr>
  </w:style>
  <w:style w:type="paragraph" w:styleId="Title">
    <w:name w:val="Title"/>
    <w:basedOn w:val="Normal"/>
    <w:next w:val="Normal"/>
    <w:link w:val="TitleChar"/>
    <w:uiPriority w:val="10"/>
    <w:qFormat/>
    <w:rsid w:val="00553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4B"/>
    <w:pPr>
      <w:spacing w:before="160"/>
      <w:jc w:val="center"/>
    </w:pPr>
    <w:rPr>
      <w:i/>
      <w:iCs/>
      <w:color w:val="404040" w:themeColor="text1" w:themeTint="BF"/>
    </w:rPr>
  </w:style>
  <w:style w:type="character" w:customStyle="1" w:styleId="QuoteChar">
    <w:name w:val="Quote Char"/>
    <w:basedOn w:val="DefaultParagraphFont"/>
    <w:link w:val="Quote"/>
    <w:uiPriority w:val="29"/>
    <w:rsid w:val="0055394B"/>
    <w:rPr>
      <w:i/>
      <w:iCs/>
      <w:color w:val="404040" w:themeColor="text1" w:themeTint="BF"/>
    </w:rPr>
  </w:style>
  <w:style w:type="paragraph" w:styleId="ListParagraph">
    <w:name w:val="List Paragraph"/>
    <w:basedOn w:val="Normal"/>
    <w:uiPriority w:val="34"/>
    <w:qFormat/>
    <w:rsid w:val="0055394B"/>
    <w:pPr>
      <w:ind w:left="720"/>
      <w:contextualSpacing/>
    </w:pPr>
  </w:style>
  <w:style w:type="character" w:styleId="IntenseEmphasis">
    <w:name w:val="Intense Emphasis"/>
    <w:basedOn w:val="DefaultParagraphFont"/>
    <w:uiPriority w:val="21"/>
    <w:qFormat/>
    <w:rsid w:val="0055394B"/>
    <w:rPr>
      <w:i/>
      <w:iCs/>
      <w:color w:val="0F4761" w:themeColor="accent1" w:themeShade="BF"/>
    </w:rPr>
  </w:style>
  <w:style w:type="paragraph" w:styleId="IntenseQuote">
    <w:name w:val="Intense Quote"/>
    <w:basedOn w:val="Normal"/>
    <w:next w:val="Normal"/>
    <w:link w:val="IntenseQuoteChar"/>
    <w:uiPriority w:val="30"/>
    <w:qFormat/>
    <w:rsid w:val="00553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94B"/>
    <w:rPr>
      <w:i/>
      <w:iCs/>
      <w:color w:val="0F4761" w:themeColor="accent1" w:themeShade="BF"/>
    </w:rPr>
  </w:style>
  <w:style w:type="character" w:styleId="IntenseReference">
    <w:name w:val="Intense Reference"/>
    <w:basedOn w:val="DefaultParagraphFont"/>
    <w:uiPriority w:val="32"/>
    <w:qFormat/>
    <w:rsid w:val="0055394B"/>
    <w:rPr>
      <w:b/>
      <w:bCs/>
      <w:smallCaps/>
      <w:color w:val="0F4761" w:themeColor="accent1" w:themeShade="BF"/>
      <w:spacing w:val="5"/>
    </w:rPr>
  </w:style>
  <w:style w:type="character" w:styleId="Hyperlink">
    <w:name w:val="Hyperlink"/>
    <w:basedOn w:val="DefaultParagraphFont"/>
    <w:uiPriority w:val="99"/>
    <w:unhideWhenUsed/>
    <w:rsid w:val="005539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aculty.washington.edu/agg/paingain/suppl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 Shokry (Faculty)</dc:creator>
  <cp:keywords/>
  <dc:description/>
  <cp:lastModifiedBy>Galia Shokry (Faculty)</cp:lastModifiedBy>
  <cp:revision>6</cp:revision>
  <dcterms:created xsi:type="dcterms:W3CDTF">2026-04-29T16:54:00Z</dcterms:created>
  <dcterms:modified xsi:type="dcterms:W3CDTF">2026-04-29T17:45:00Z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edfc2e7a-93b4-4131-aed7-dc582d4bd4e0</vt:lpwstr>
  </property>
</Properties>
</file>