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A896" w14:textId="5A9D480C"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 xml:space="preserve">Overview: </w:t>
      </w:r>
    </w:p>
    <w:p w14:paraId="6978646C" w14:textId="71D09090" w:rsidR="00390714" w:rsidRPr="00390714" w:rsidRDefault="00390714" w:rsidP="00390714">
      <w:pPr>
        <w:rPr>
          <w:rFonts w:ascii="Aptos" w:hAnsi="Aptos"/>
        </w:rPr>
      </w:pPr>
      <w:r w:rsidRPr="00390714">
        <w:rPr>
          <w:rFonts w:ascii="Aptos" w:hAnsi="Aptos"/>
        </w:rPr>
        <w:t>Kean University Facilities Management has established temperature guidelines to ensure a comfortable indoor environment while promoting energy efficiency and sustainability. These guidelines apply to academic, administrative, and residential buildings across campus.</w:t>
      </w:r>
    </w:p>
    <w:p w14:paraId="4AB16C95" w14:textId="11AD7013" w:rsidR="00390714" w:rsidRDefault="00390714" w:rsidP="00390714">
      <w:pPr>
        <w:rPr>
          <w:rFonts w:ascii="Aptos" w:hAnsi="Aptos"/>
        </w:rPr>
      </w:pPr>
    </w:p>
    <w:p w14:paraId="5D835E64" w14:textId="53697A76" w:rsidR="00390714" w:rsidRPr="00390714" w:rsidRDefault="00390714" w:rsidP="00390714">
      <w:pPr>
        <w:rPr>
          <w:rFonts w:ascii="Aptos" w:hAnsi="Aptos"/>
        </w:rPr>
      </w:pPr>
    </w:p>
    <w:p w14:paraId="139F78CF"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Why These Guidelines Matter</w:t>
      </w:r>
    </w:p>
    <w:p w14:paraId="67EA4728" w14:textId="77777777" w:rsidR="00390714" w:rsidRPr="00390714" w:rsidRDefault="00390714" w:rsidP="00390714">
      <w:pPr>
        <w:pStyle w:val="ListParagraph"/>
        <w:widowControl/>
        <w:numPr>
          <w:ilvl w:val="0"/>
          <w:numId w:val="2"/>
        </w:numPr>
        <w:autoSpaceDE/>
        <w:autoSpaceDN/>
        <w:spacing w:before="0"/>
        <w:contextualSpacing/>
        <w:rPr>
          <w:rFonts w:ascii="Aptos" w:hAnsi="Aptos"/>
          <w:b/>
          <w:bCs/>
          <w:color w:val="07386D"/>
          <w:sz w:val="28"/>
          <w:szCs w:val="28"/>
        </w:rPr>
      </w:pPr>
      <w:r w:rsidRPr="00390714">
        <w:rPr>
          <w:rFonts w:ascii="Aptos" w:hAnsi="Aptos"/>
        </w:rPr>
        <w:t>Comfort &amp; Consistency: Clear expectations for indoor temperature during different seasons help occupants understand what to expect and when to report issues.</w:t>
      </w:r>
    </w:p>
    <w:p w14:paraId="21B8BEF2" w14:textId="77777777" w:rsidR="00390714" w:rsidRPr="00390714" w:rsidRDefault="00390714" w:rsidP="00390714">
      <w:pPr>
        <w:pStyle w:val="ListParagraph"/>
        <w:widowControl/>
        <w:numPr>
          <w:ilvl w:val="0"/>
          <w:numId w:val="2"/>
        </w:numPr>
        <w:autoSpaceDE/>
        <w:autoSpaceDN/>
        <w:spacing w:before="0"/>
        <w:contextualSpacing/>
        <w:rPr>
          <w:rFonts w:ascii="Aptos" w:hAnsi="Aptos"/>
          <w:b/>
          <w:bCs/>
          <w:color w:val="07386D"/>
          <w:sz w:val="28"/>
          <w:szCs w:val="28"/>
        </w:rPr>
      </w:pPr>
      <w:r w:rsidRPr="00390714">
        <w:rPr>
          <w:rFonts w:ascii="Aptos" w:hAnsi="Aptos"/>
        </w:rPr>
        <w:t>Energy Efficiency: Standardized temperature settings help reduce utility costs by avoiding overuse of heating and cooling systems.</w:t>
      </w:r>
    </w:p>
    <w:p w14:paraId="47821597" w14:textId="77777777" w:rsidR="00390714" w:rsidRPr="00390714" w:rsidRDefault="00390714" w:rsidP="00390714">
      <w:pPr>
        <w:pStyle w:val="ListParagraph"/>
        <w:widowControl/>
        <w:numPr>
          <w:ilvl w:val="0"/>
          <w:numId w:val="2"/>
        </w:numPr>
        <w:autoSpaceDE/>
        <w:autoSpaceDN/>
        <w:spacing w:before="0"/>
        <w:contextualSpacing/>
        <w:rPr>
          <w:rFonts w:ascii="Aptos" w:hAnsi="Aptos"/>
          <w:b/>
          <w:bCs/>
          <w:color w:val="07386D"/>
          <w:sz w:val="28"/>
          <w:szCs w:val="28"/>
        </w:rPr>
      </w:pPr>
      <w:r w:rsidRPr="00390714">
        <w:rPr>
          <w:rFonts w:ascii="Aptos" w:hAnsi="Aptos"/>
        </w:rPr>
        <w:t>Environmental Responsibility: Optimizing building energy use supports Kean’s commitment to environmental stewardship and carbon footprint reduction.</w:t>
      </w:r>
    </w:p>
    <w:p w14:paraId="64832D3A" w14:textId="77777777" w:rsidR="00390714" w:rsidRDefault="00390714" w:rsidP="00390714">
      <w:pPr>
        <w:rPr>
          <w:rFonts w:ascii="Aptos" w:hAnsi="Aptos"/>
        </w:rPr>
      </w:pPr>
    </w:p>
    <w:p w14:paraId="2566F6C8" w14:textId="77777777" w:rsidR="00390714" w:rsidRPr="00390714" w:rsidRDefault="00390714" w:rsidP="00390714">
      <w:pPr>
        <w:rPr>
          <w:rFonts w:ascii="Aptos" w:hAnsi="Aptos"/>
        </w:rPr>
      </w:pPr>
    </w:p>
    <w:p w14:paraId="176AEF14"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Who Oversees These Guidelines</w:t>
      </w:r>
    </w:p>
    <w:p w14:paraId="7C62800B" w14:textId="77777777" w:rsidR="00390714" w:rsidRPr="00390714" w:rsidRDefault="00390714" w:rsidP="00390714">
      <w:pPr>
        <w:rPr>
          <w:rFonts w:ascii="Aptos" w:hAnsi="Aptos"/>
        </w:rPr>
      </w:pPr>
      <w:r w:rsidRPr="00390714">
        <w:rPr>
          <w:rFonts w:ascii="Aptos" w:hAnsi="Aptos"/>
        </w:rPr>
        <w:t>Facilities and Campus Planning are responsible for implementing and maintaining these guidelines.</w:t>
      </w:r>
    </w:p>
    <w:p w14:paraId="658E38A4" w14:textId="77777777" w:rsidR="00390714" w:rsidRDefault="00390714" w:rsidP="00390714">
      <w:pPr>
        <w:rPr>
          <w:rFonts w:ascii="Aptos" w:hAnsi="Aptos"/>
          <w:b/>
          <w:bCs/>
          <w:color w:val="07386D"/>
        </w:rPr>
      </w:pPr>
    </w:p>
    <w:p w14:paraId="3AD1A90D" w14:textId="77777777" w:rsidR="00390714" w:rsidRPr="00390714" w:rsidRDefault="00390714" w:rsidP="00390714">
      <w:pPr>
        <w:rPr>
          <w:rFonts w:ascii="Aptos" w:hAnsi="Aptos"/>
          <w:b/>
          <w:bCs/>
          <w:color w:val="07386D"/>
        </w:rPr>
      </w:pPr>
    </w:p>
    <w:p w14:paraId="1C1FD4B4"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Who It Applies To</w:t>
      </w:r>
    </w:p>
    <w:p w14:paraId="0C2FD12A" w14:textId="77777777" w:rsidR="00390714" w:rsidRPr="00390714" w:rsidRDefault="00390714" w:rsidP="00390714">
      <w:pPr>
        <w:rPr>
          <w:rFonts w:ascii="Aptos" w:hAnsi="Aptos"/>
        </w:rPr>
      </w:pPr>
      <w:r w:rsidRPr="00390714">
        <w:rPr>
          <w:rFonts w:ascii="Aptos" w:hAnsi="Aptos"/>
        </w:rPr>
        <w:t>These guidelines govern all Kean University-operated academic, administrative, and residential buildings. All building occupants, including students, faculty, and staff, should be familiar with these guidelines.</w:t>
      </w:r>
    </w:p>
    <w:p w14:paraId="2177EE95" w14:textId="77777777" w:rsidR="00390714" w:rsidRDefault="00390714" w:rsidP="00390714">
      <w:pPr>
        <w:rPr>
          <w:rFonts w:ascii="Aptos" w:hAnsi="Aptos"/>
        </w:rPr>
      </w:pPr>
    </w:p>
    <w:p w14:paraId="2E6A12CD" w14:textId="77777777" w:rsidR="00390714" w:rsidRPr="00390714" w:rsidRDefault="00390714" w:rsidP="00390714">
      <w:pPr>
        <w:rPr>
          <w:rFonts w:ascii="Aptos" w:hAnsi="Aptos"/>
        </w:rPr>
      </w:pPr>
    </w:p>
    <w:p w14:paraId="1108980F"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Temperature Guidelines</w:t>
      </w:r>
    </w:p>
    <w:p w14:paraId="11BE2755" w14:textId="77777777" w:rsidR="00390714" w:rsidRPr="00390714" w:rsidRDefault="00390714" w:rsidP="00390714">
      <w:pPr>
        <w:rPr>
          <w:rFonts w:ascii="Aptos" w:hAnsi="Aptos"/>
        </w:rPr>
      </w:pPr>
      <w:r w:rsidRPr="00390714">
        <w:rPr>
          <w:rFonts w:ascii="Aptos" w:hAnsi="Aptos"/>
        </w:rPr>
        <w:t>Heating Season (October to April)</w:t>
      </w:r>
    </w:p>
    <w:p w14:paraId="46F79DFA" w14:textId="77777777" w:rsidR="00390714" w:rsidRPr="00390714" w:rsidRDefault="00390714" w:rsidP="00390714">
      <w:pPr>
        <w:pStyle w:val="ListParagraph"/>
        <w:widowControl/>
        <w:numPr>
          <w:ilvl w:val="0"/>
          <w:numId w:val="3"/>
        </w:numPr>
        <w:autoSpaceDE/>
        <w:autoSpaceDN/>
        <w:spacing w:before="0"/>
        <w:contextualSpacing/>
        <w:rPr>
          <w:rFonts w:ascii="Aptos" w:hAnsi="Aptos"/>
        </w:rPr>
      </w:pPr>
      <w:r w:rsidRPr="00390714">
        <w:rPr>
          <w:rFonts w:ascii="Aptos" w:hAnsi="Aptos"/>
        </w:rPr>
        <w:t>Target Temperature: 68°F during normal building hours</w:t>
      </w:r>
    </w:p>
    <w:p w14:paraId="24745F35" w14:textId="77777777" w:rsidR="00390714" w:rsidRPr="00390714" w:rsidRDefault="00390714" w:rsidP="00390714">
      <w:pPr>
        <w:pStyle w:val="ListParagraph"/>
        <w:widowControl/>
        <w:numPr>
          <w:ilvl w:val="0"/>
          <w:numId w:val="3"/>
        </w:numPr>
        <w:autoSpaceDE/>
        <w:autoSpaceDN/>
        <w:spacing w:before="0"/>
        <w:contextualSpacing/>
        <w:rPr>
          <w:rFonts w:ascii="Aptos" w:hAnsi="Aptos"/>
        </w:rPr>
      </w:pPr>
      <w:r w:rsidRPr="00390714">
        <w:rPr>
          <w:rFonts w:ascii="Aptos" w:hAnsi="Aptos"/>
        </w:rPr>
        <w:t>Acceptable Range: 66°F to 72°F</w:t>
      </w:r>
    </w:p>
    <w:p w14:paraId="1F753080" w14:textId="77777777" w:rsidR="00390714" w:rsidRPr="00390714" w:rsidRDefault="00390714" w:rsidP="00390714">
      <w:pPr>
        <w:pStyle w:val="ListParagraph"/>
        <w:widowControl/>
        <w:numPr>
          <w:ilvl w:val="0"/>
          <w:numId w:val="3"/>
        </w:numPr>
        <w:autoSpaceDE/>
        <w:autoSpaceDN/>
        <w:spacing w:before="0"/>
        <w:contextualSpacing/>
        <w:rPr>
          <w:rFonts w:ascii="Aptos" w:hAnsi="Aptos"/>
        </w:rPr>
      </w:pPr>
      <w:r w:rsidRPr="00390714">
        <w:rPr>
          <w:rFonts w:ascii="Aptos" w:hAnsi="Aptos"/>
        </w:rPr>
        <w:t>Off-Hours Minimum: 55°F</w:t>
      </w:r>
    </w:p>
    <w:p w14:paraId="6DD25379" w14:textId="77777777" w:rsidR="00390714" w:rsidRPr="00390714" w:rsidRDefault="00390714" w:rsidP="00390714">
      <w:pPr>
        <w:rPr>
          <w:rFonts w:ascii="Aptos" w:hAnsi="Aptos"/>
        </w:rPr>
      </w:pPr>
      <w:r w:rsidRPr="00390714">
        <w:rPr>
          <w:rFonts w:ascii="Aptos" w:hAnsi="Aptos"/>
        </w:rPr>
        <w:t>Cooling Season (April to October)</w:t>
      </w:r>
    </w:p>
    <w:p w14:paraId="38D932E8" w14:textId="77777777" w:rsidR="00390714" w:rsidRPr="00390714" w:rsidRDefault="00390714" w:rsidP="00390714">
      <w:pPr>
        <w:pStyle w:val="ListParagraph"/>
        <w:widowControl/>
        <w:numPr>
          <w:ilvl w:val="0"/>
          <w:numId w:val="4"/>
        </w:numPr>
        <w:autoSpaceDE/>
        <w:autoSpaceDN/>
        <w:spacing w:before="0"/>
        <w:contextualSpacing/>
        <w:rPr>
          <w:rFonts w:ascii="Aptos" w:hAnsi="Aptos"/>
        </w:rPr>
      </w:pPr>
      <w:r w:rsidRPr="00390714">
        <w:rPr>
          <w:rFonts w:ascii="Aptos" w:hAnsi="Aptos"/>
        </w:rPr>
        <w:t>Target Temperature: 76°F during normal building hours</w:t>
      </w:r>
    </w:p>
    <w:p w14:paraId="7F82C21F" w14:textId="77777777" w:rsidR="00390714" w:rsidRPr="00390714" w:rsidRDefault="00390714" w:rsidP="00390714">
      <w:pPr>
        <w:pStyle w:val="ListParagraph"/>
        <w:widowControl/>
        <w:numPr>
          <w:ilvl w:val="0"/>
          <w:numId w:val="4"/>
        </w:numPr>
        <w:autoSpaceDE/>
        <w:autoSpaceDN/>
        <w:spacing w:before="0"/>
        <w:contextualSpacing/>
        <w:rPr>
          <w:rFonts w:ascii="Aptos" w:hAnsi="Aptos"/>
        </w:rPr>
      </w:pPr>
      <w:r w:rsidRPr="00390714">
        <w:rPr>
          <w:rFonts w:ascii="Aptos" w:hAnsi="Aptos"/>
        </w:rPr>
        <w:t>Acceptable Range: 74°F to 78°F</w:t>
      </w:r>
    </w:p>
    <w:p w14:paraId="565E2947" w14:textId="77777777" w:rsidR="00390714" w:rsidRPr="00390714" w:rsidRDefault="00390714" w:rsidP="00390714">
      <w:pPr>
        <w:pStyle w:val="ListParagraph"/>
        <w:widowControl/>
        <w:numPr>
          <w:ilvl w:val="0"/>
          <w:numId w:val="4"/>
        </w:numPr>
        <w:autoSpaceDE/>
        <w:autoSpaceDN/>
        <w:spacing w:before="0"/>
        <w:contextualSpacing/>
        <w:rPr>
          <w:rFonts w:ascii="Aptos" w:hAnsi="Aptos"/>
        </w:rPr>
      </w:pPr>
      <w:r w:rsidRPr="00390714">
        <w:rPr>
          <w:rFonts w:ascii="Aptos" w:hAnsi="Aptos"/>
        </w:rPr>
        <w:t>Temperatures may rise above 76°F during off-hours</w:t>
      </w:r>
    </w:p>
    <w:p w14:paraId="7562791C" w14:textId="77777777" w:rsidR="00390714" w:rsidRPr="00390714" w:rsidRDefault="00390714" w:rsidP="00390714">
      <w:pPr>
        <w:rPr>
          <w:rFonts w:ascii="Aptos" w:hAnsi="Aptos"/>
        </w:rPr>
      </w:pPr>
    </w:p>
    <w:p w14:paraId="5DCD0BB9" w14:textId="77777777" w:rsidR="00390714" w:rsidRPr="00390714" w:rsidRDefault="00390714" w:rsidP="00390714">
      <w:pPr>
        <w:rPr>
          <w:rFonts w:ascii="Aptos" w:hAnsi="Aptos"/>
        </w:rPr>
      </w:pPr>
      <w:r w:rsidRPr="00390714">
        <w:rPr>
          <w:rFonts w:ascii="Aptos" w:hAnsi="Aptos"/>
        </w:rPr>
        <w:t>Note: These ranges are based on ASHRAE Standard 55 for human thermal comfort. Temperatures in the 66-78°F range should be comfortable for most people who are dressed appropriately for the season, per ASHRAE Standard 55 - Thermal Environmental Conditions for Human Occupancy.</w:t>
      </w:r>
    </w:p>
    <w:p w14:paraId="7EA0EF0C" w14:textId="77777777" w:rsidR="00390714" w:rsidRDefault="00390714" w:rsidP="00390714">
      <w:pPr>
        <w:rPr>
          <w:rFonts w:ascii="Aptos" w:hAnsi="Aptos"/>
          <w:b/>
          <w:bCs/>
          <w:color w:val="07386D"/>
          <w:sz w:val="28"/>
          <w:szCs w:val="28"/>
        </w:rPr>
      </w:pPr>
    </w:p>
    <w:p w14:paraId="043520B1" w14:textId="77777777" w:rsidR="00D062DD" w:rsidRDefault="00D062DD" w:rsidP="00390714">
      <w:pPr>
        <w:rPr>
          <w:rFonts w:ascii="Aptos" w:hAnsi="Aptos"/>
          <w:b/>
          <w:bCs/>
          <w:color w:val="07386D"/>
          <w:sz w:val="28"/>
          <w:szCs w:val="28"/>
        </w:rPr>
      </w:pPr>
    </w:p>
    <w:p w14:paraId="2F031250" w14:textId="77777777" w:rsidR="00D062DD" w:rsidRDefault="00D062DD" w:rsidP="00390714">
      <w:pPr>
        <w:rPr>
          <w:rFonts w:ascii="Aptos" w:hAnsi="Aptos"/>
          <w:b/>
          <w:bCs/>
          <w:color w:val="07386D"/>
          <w:sz w:val="28"/>
          <w:szCs w:val="28"/>
        </w:rPr>
      </w:pPr>
    </w:p>
    <w:p w14:paraId="3F217556" w14:textId="5A7CBE64"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lastRenderedPageBreak/>
        <w:t>Exceptions &amp; Special Considerations</w:t>
      </w:r>
    </w:p>
    <w:p w14:paraId="019F3971" w14:textId="77777777" w:rsidR="00390714" w:rsidRPr="00390714" w:rsidRDefault="00390714" w:rsidP="00390714">
      <w:pPr>
        <w:rPr>
          <w:rFonts w:ascii="Aptos" w:hAnsi="Aptos"/>
        </w:rPr>
      </w:pPr>
      <w:r w:rsidRPr="00390714">
        <w:rPr>
          <w:rFonts w:ascii="Aptos" w:hAnsi="Aptos"/>
        </w:rPr>
        <w:t>Certain specialized spaces (e.g., labs, server rooms, or medical environments) may require climate settings outside of the standard guidelines. Offices with individual thermostats are exempt when occupants agree on settings, but central HVAC systems will not be adjusted if requested temperatures fall outside the guideline range.</w:t>
      </w:r>
    </w:p>
    <w:p w14:paraId="546B4551" w14:textId="77777777" w:rsidR="00390714" w:rsidRDefault="00390714" w:rsidP="00390714">
      <w:pPr>
        <w:rPr>
          <w:rFonts w:ascii="Aptos" w:hAnsi="Aptos"/>
        </w:rPr>
      </w:pPr>
    </w:p>
    <w:p w14:paraId="7FAA8322" w14:textId="77777777" w:rsidR="00390714" w:rsidRPr="00390714" w:rsidRDefault="00390714" w:rsidP="00390714">
      <w:pPr>
        <w:rPr>
          <w:rFonts w:ascii="Aptos" w:hAnsi="Aptos"/>
        </w:rPr>
      </w:pPr>
    </w:p>
    <w:p w14:paraId="324F2725"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Seasonal System Transitions</w:t>
      </w:r>
    </w:p>
    <w:p w14:paraId="219D78E8" w14:textId="77777777" w:rsidR="00390714" w:rsidRPr="00390714" w:rsidRDefault="00390714" w:rsidP="00390714">
      <w:pPr>
        <w:rPr>
          <w:rFonts w:ascii="Aptos" w:hAnsi="Aptos"/>
        </w:rPr>
      </w:pPr>
      <w:r w:rsidRPr="00390714">
        <w:rPr>
          <w:rFonts w:ascii="Aptos" w:hAnsi="Aptos"/>
        </w:rPr>
        <w:t>Switchover between heating and cooling is based on outdoor temperature trends, system type, and building function. This process typically takes up to two weeks and may temporarily affect indoor comfort.</w:t>
      </w:r>
    </w:p>
    <w:p w14:paraId="3134142E" w14:textId="77777777" w:rsidR="00390714" w:rsidRDefault="00390714" w:rsidP="00390714">
      <w:pPr>
        <w:rPr>
          <w:rFonts w:ascii="Aptos" w:hAnsi="Aptos"/>
        </w:rPr>
      </w:pPr>
    </w:p>
    <w:p w14:paraId="7A308B1C" w14:textId="77777777" w:rsidR="00390714" w:rsidRPr="00390714" w:rsidRDefault="00390714" w:rsidP="00390714">
      <w:pPr>
        <w:rPr>
          <w:rFonts w:ascii="Aptos" w:hAnsi="Aptos"/>
        </w:rPr>
      </w:pPr>
    </w:p>
    <w:p w14:paraId="35F6EF85"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Energy-Saving During Off-Hours</w:t>
      </w:r>
    </w:p>
    <w:p w14:paraId="5D4F8DBE" w14:textId="77777777" w:rsidR="00390714" w:rsidRPr="00390714" w:rsidRDefault="00390714" w:rsidP="00390714">
      <w:pPr>
        <w:rPr>
          <w:rFonts w:ascii="Aptos" w:hAnsi="Aptos"/>
        </w:rPr>
      </w:pPr>
      <w:r w:rsidRPr="00390714">
        <w:rPr>
          <w:rFonts w:ascii="Aptos" w:hAnsi="Aptos"/>
        </w:rPr>
        <w:t>To reduce energy use, Facilities adjust building temperatures during non-operational hours (evenings, weekends, holidays).</w:t>
      </w:r>
    </w:p>
    <w:p w14:paraId="4FFD965A" w14:textId="77777777" w:rsidR="00390714" w:rsidRDefault="00390714" w:rsidP="00390714">
      <w:pPr>
        <w:rPr>
          <w:rFonts w:ascii="Aptos" w:hAnsi="Aptos"/>
        </w:rPr>
      </w:pPr>
    </w:p>
    <w:p w14:paraId="77FE7301" w14:textId="77777777" w:rsidR="00390714" w:rsidRPr="00390714" w:rsidRDefault="00390714" w:rsidP="00390714">
      <w:pPr>
        <w:rPr>
          <w:rFonts w:ascii="Aptos" w:hAnsi="Aptos"/>
        </w:rPr>
      </w:pPr>
    </w:p>
    <w:p w14:paraId="4E7DDCDA"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Key Terms</w:t>
      </w:r>
    </w:p>
    <w:p w14:paraId="4D8E6F16" w14:textId="77777777" w:rsidR="00390714" w:rsidRPr="00390714" w:rsidRDefault="00390714" w:rsidP="00390714">
      <w:pPr>
        <w:rPr>
          <w:rFonts w:ascii="Aptos" w:hAnsi="Aptos"/>
        </w:rPr>
      </w:pPr>
      <w:r w:rsidRPr="00390714">
        <w:rPr>
          <w:rFonts w:ascii="Aptos" w:hAnsi="Aptos"/>
        </w:rPr>
        <w:t>HVAC: Heating, Ventilation, and Air Conditioning</w:t>
      </w:r>
    </w:p>
    <w:p w14:paraId="6C487B4D" w14:textId="77777777" w:rsidR="00390714" w:rsidRPr="00390714" w:rsidRDefault="00390714" w:rsidP="00390714">
      <w:pPr>
        <w:rPr>
          <w:rFonts w:ascii="Aptos" w:hAnsi="Aptos"/>
        </w:rPr>
      </w:pPr>
      <w:r w:rsidRPr="00390714">
        <w:rPr>
          <w:rFonts w:ascii="Aptos" w:hAnsi="Aptos"/>
        </w:rPr>
        <w:t>Occupied Hours: Regularly scheduled building hours for classes, operations, or events</w:t>
      </w:r>
    </w:p>
    <w:p w14:paraId="3E4E6741" w14:textId="77777777" w:rsidR="00390714" w:rsidRDefault="00390714" w:rsidP="00390714">
      <w:pPr>
        <w:rPr>
          <w:rFonts w:ascii="Aptos" w:hAnsi="Aptos"/>
        </w:rPr>
      </w:pPr>
    </w:p>
    <w:p w14:paraId="6B546078" w14:textId="77777777" w:rsidR="00390714" w:rsidRPr="00390714" w:rsidRDefault="00390714" w:rsidP="00390714">
      <w:pPr>
        <w:rPr>
          <w:rFonts w:ascii="Aptos" w:hAnsi="Aptos"/>
        </w:rPr>
      </w:pPr>
    </w:p>
    <w:p w14:paraId="12663653" w14:textId="77777777" w:rsidR="00390714" w:rsidRPr="00390714" w:rsidRDefault="00390714" w:rsidP="00390714">
      <w:pPr>
        <w:rPr>
          <w:rFonts w:ascii="Aptos" w:hAnsi="Aptos"/>
          <w:b/>
          <w:bCs/>
          <w:color w:val="07386D"/>
          <w:sz w:val="28"/>
          <w:szCs w:val="28"/>
        </w:rPr>
      </w:pPr>
      <w:r w:rsidRPr="00390714">
        <w:rPr>
          <w:rFonts w:ascii="Aptos" w:hAnsi="Aptos"/>
          <w:b/>
          <w:bCs/>
          <w:color w:val="07386D"/>
          <w:sz w:val="28"/>
          <w:szCs w:val="28"/>
        </w:rPr>
        <w:t>Contact</w:t>
      </w:r>
    </w:p>
    <w:p w14:paraId="3ECB9234" w14:textId="34E32241" w:rsidR="00B908C0" w:rsidRPr="00390714" w:rsidRDefault="00390714" w:rsidP="00390714">
      <w:pPr>
        <w:rPr>
          <w:rFonts w:ascii="Aptos" w:hAnsi="Aptos"/>
        </w:rPr>
      </w:pPr>
      <w:r w:rsidRPr="00390714">
        <w:rPr>
          <w:rFonts w:ascii="Aptos" w:hAnsi="Aptos"/>
        </w:rPr>
        <w:t>For more information or to report an issue, please contact</w:t>
      </w:r>
      <w:r w:rsidR="000E6005">
        <w:rPr>
          <w:rFonts w:ascii="Aptos" w:hAnsi="Aptos"/>
        </w:rPr>
        <w:t xml:space="preserve"> </w:t>
      </w:r>
      <w:r w:rsidRPr="00390714">
        <w:rPr>
          <w:rFonts w:ascii="Aptos" w:hAnsi="Aptos"/>
        </w:rPr>
        <w:t xml:space="preserve">Facilities Management at </w:t>
      </w:r>
      <w:hyperlink r:id="rId7" w:history="1">
        <w:r w:rsidRPr="00CF505B">
          <w:rPr>
            <w:rStyle w:val="Hyperlink"/>
            <w:rFonts w:ascii="Aptos" w:hAnsi="Aptos"/>
          </w:rPr>
          <w:t>energy@kean.edu</w:t>
        </w:r>
      </w:hyperlink>
      <w:r w:rsidRPr="00390714">
        <w:rPr>
          <w:rFonts w:ascii="Aptos" w:hAnsi="Aptos"/>
        </w:rPr>
        <w:t>.</w:t>
      </w:r>
    </w:p>
    <w:sectPr w:rsidR="00B908C0" w:rsidRPr="00390714">
      <w:headerReference w:type="default" r:id="rId8"/>
      <w:footerReference w:type="default" r:id="rId9"/>
      <w:pgSz w:w="12240" w:h="15840"/>
      <w:pgMar w:top="136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F948" w14:textId="77777777" w:rsidR="002818D9" w:rsidRDefault="002818D9" w:rsidP="00FB2898">
      <w:r>
        <w:separator/>
      </w:r>
    </w:p>
  </w:endnote>
  <w:endnote w:type="continuationSeparator" w:id="0">
    <w:p w14:paraId="2A52C57C" w14:textId="77777777" w:rsidR="002818D9" w:rsidRDefault="002818D9" w:rsidP="00FB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E3C" w14:textId="751EB12C" w:rsidR="00D062DD" w:rsidRPr="000E6005" w:rsidRDefault="00D062DD" w:rsidP="00D062DD">
    <w:pPr>
      <w:pStyle w:val="Footer"/>
      <w:rPr>
        <w:rFonts w:ascii="Aptos" w:hAnsi="Aptos"/>
        <w:b/>
        <w:bCs/>
        <w:color w:val="07386D"/>
        <w:sz w:val="16"/>
        <w:szCs w:val="16"/>
      </w:rPr>
    </w:pPr>
    <w:r w:rsidRPr="000E6005">
      <w:rPr>
        <w:rFonts w:ascii="Aptos" w:hAnsi="Aptos"/>
        <w:b/>
        <w:bCs/>
        <w:color w:val="07386D"/>
        <w:sz w:val="16"/>
        <w:szCs w:val="16"/>
      </w:rPr>
      <w:t>Kean University Campus Operation</w:t>
    </w:r>
    <w:r w:rsidRPr="000E6005">
      <w:rPr>
        <w:rFonts w:ascii="Aptos" w:hAnsi="Aptos"/>
        <w:b/>
        <w:bCs/>
        <w:color w:val="07386D"/>
        <w:sz w:val="16"/>
        <w:szCs w:val="16"/>
      </w:rPr>
      <w:tab/>
    </w:r>
    <w:r w:rsidRPr="000E6005">
      <w:rPr>
        <w:rFonts w:ascii="Aptos" w:hAnsi="Aptos"/>
        <w:b/>
        <w:bCs/>
        <w:color w:val="07386D"/>
        <w:sz w:val="16"/>
        <w:szCs w:val="16"/>
      </w:rPr>
      <w:tab/>
    </w:r>
    <w:sdt>
      <w:sdtPr>
        <w:rPr>
          <w:rFonts w:ascii="Aptos" w:hAnsi="Aptos"/>
          <w:b/>
          <w:bCs/>
          <w:color w:val="07386D"/>
          <w:sz w:val="16"/>
          <w:szCs w:val="16"/>
        </w:rPr>
        <w:id w:val="-957712070"/>
        <w:docPartObj>
          <w:docPartGallery w:val="Page Numbers (Bottom of Page)"/>
          <w:docPartUnique/>
        </w:docPartObj>
      </w:sdtPr>
      <w:sdtContent>
        <w:r w:rsidRPr="000E6005">
          <w:rPr>
            <w:rFonts w:ascii="Aptos" w:hAnsi="Aptos"/>
            <w:b/>
            <w:bCs/>
            <w:color w:val="07386D"/>
            <w:sz w:val="16"/>
            <w:szCs w:val="16"/>
          </w:rPr>
          <w:t xml:space="preserve">Page </w:t>
        </w:r>
        <w:r w:rsidRPr="000E6005">
          <w:rPr>
            <w:rFonts w:ascii="Aptos" w:hAnsi="Aptos"/>
            <w:b/>
            <w:bCs/>
            <w:color w:val="07386D"/>
            <w:sz w:val="16"/>
            <w:szCs w:val="16"/>
          </w:rPr>
          <w:fldChar w:fldCharType="begin"/>
        </w:r>
        <w:r w:rsidRPr="000E6005">
          <w:rPr>
            <w:rFonts w:ascii="Aptos" w:hAnsi="Aptos"/>
            <w:b/>
            <w:bCs/>
            <w:color w:val="07386D"/>
            <w:sz w:val="16"/>
            <w:szCs w:val="16"/>
          </w:rPr>
          <w:instrText xml:space="preserve"> PAGE   \* MERGEFORMAT </w:instrText>
        </w:r>
        <w:r w:rsidRPr="000E6005">
          <w:rPr>
            <w:rFonts w:ascii="Aptos" w:hAnsi="Aptos"/>
            <w:b/>
            <w:bCs/>
            <w:color w:val="07386D"/>
            <w:sz w:val="16"/>
            <w:szCs w:val="16"/>
          </w:rPr>
          <w:fldChar w:fldCharType="separate"/>
        </w:r>
        <w:r w:rsidRPr="000E6005">
          <w:rPr>
            <w:rFonts w:ascii="Aptos" w:hAnsi="Aptos"/>
            <w:b/>
            <w:bCs/>
            <w:color w:val="07386D"/>
            <w:sz w:val="16"/>
            <w:szCs w:val="16"/>
          </w:rPr>
          <w:t>2</w:t>
        </w:r>
        <w:r w:rsidRPr="000E6005">
          <w:rPr>
            <w:rFonts w:ascii="Aptos" w:hAnsi="Aptos"/>
            <w:b/>
            <w:bCs/>
            <w:color w:val="07386D"/>
            <w:sz w:val="16"/>
            <w:szCs w:val="16"/>
          </w:rPr>
          <w:fldChar w:fldCharType="end"/>
        </w:r>
      </w:sdtContent>
    </w:sdt>
  </w:p>
  <w:p w14:paraId="094A5584" w14:textId="77777777" w:rsidR="00D062DD" w:rsidRPr="00D062DD" w:rsidRDefault="00D062DD">
    <w:pPr>
      <w:pStyle w:val="Footer"/>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AE8C" w14:textId="77777777" w:rsidR="002818D9" w:rsidRDefault="002818D9" w:rsidP="00FB2898">
      <w:r>
        <w:separator/>
      </w:r>
    </w:p>
  </w:footnote>
  <w:footnote w:type="continuationSeparator" w:id="0">
    <w:p w14:paraId="63C9A944" w14:textId="77777777" w:rsidR="002818D9" w:rsidRDefault="002818D9" w:rsidP="00FB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912C" w14:textId="698505A2" w:rsidR="00D062DD" w:rsidRPr="00D062DD" w:rsidRDefault="00D062DD" w:rsidP="00FB2898">
    <w:pPr>
      <w:rPr>
        <w:rFonts w:ascii="Aptos" w:hAnsi="Aptos"/>
        <w:b/>
        <w:bCs/>
        <w:color w:val="07386D"/>
        <w:sz w:val="48"/>
        <w:szCs w:val="48"/>
      </w:rPr>
    </w:pPr>
    <w:r>
      <w:rPr>
        <w:noProof/>
      </w:rPr>
      <w:drawing>
        <wp:anchor distT="0" distB="0" distL="114300" distR="114300" simplePos="0" relativeHeight="251659264" behindDoc="0" locked="0" layoutInCell="1" allowOverlap="1" wp14:anchorId="65AC5EF5" wp14:editId="278FD64D">
          <wp:simplePos x="0" y="0"/>
          <wp:positionH relativeFrom="margin">
            <wp:align>right</wp:align>
          </wp:positionH>
          <wp:positionV relativeFrom="paragraph">
            <wp:posOffset>-257632</wp:posOffset>
          </wp:positionV>
          <wp:extent cx="1251457" cy="1163914"/>
          <wp:effectExtent l="0" t="0" r="0" b="0"/>
          <wp:wrapNone/>
          <wp:docPr id="440690208" name="Image 3" descr="A blue circle with text and a logo  AI-generated content may be incorrect. "/>
          <wp:cNvGraphicFramePr/>
          <a:graphic xmlns:a="http://schemas.openxmlformats.org/drawingml/2006/main">
            <a:graphicData uri="http://schemas.openxmlformats.org/drawingml/2006/picture">
              <pic:pic xmlns:pic="http://schemas.openxmlformats.org/drawingml/2006/picture">
                <pic:nvPicPr>
                  <pic:cNvPr id="3" name="Image 3" descr="A blue circle with text and a logo  AI-generated content may be incorrect. "/>
                  <pic:cNvPicPr/>
                </pic:nvPicPr>
                <pic:blipFill>
                  <a:blip r:embed="rId1" cstate="print"/>
                  <a:stretch>
                    <a:fillRect/>
                  </a:stretch>
                </pic:blipFill>
                <pic:spPr>
                  <a:xfrm>
                    <a:off x="0" y="0"/>
                    <a:ext cx="1251457" cy="1163914"/>
                  </a:xfrm>
                  <a:prstGeom prst="rect">
                    <a:avLst/>
                  </a:prstGeom>
                </pic:spPr>
              </pic:pic>
            </a:graphicData>
          </a:graphic>
        </wp:anchor>
      </w:drawing>
    </w:r>
    <w:r w:rsidR="00FB2898" w:rsidRPr="00D062DD">
      <w:rPr>
        <w:rFonts w:ascii="Aptos" w:hAnsi="Aptos"/>
        <w:b/>
        <w:bCs/>
        <w:color w:val="07386D"/>
        <w:sz w:val="48"/>
        <w:szCs w:val="48"/>
      </w:rPr>
      <w:t xml:space="preserve">Kean University Indoor Space </w:t>
    </w:r>
  </w:p>
  <w:p w14:paraId="1A4999FA" w14:textId="0DF27008" w:rsidR="00FB2898" w:rsidRPr="00D062DD" w:rsidRDefault="00FB2898" w:rsidP="00FB2898">
    <w:pPr>
      <w:rPr>
        <w:rFonts w:ascii="Aptos" w:hAnsi="Aptos"/>
        <w:b/>
        <w:bCs/>
        <w:color w:val="07386D"/>
        <w:sz w:val="48"/>
        <w:szCs w:val="48"/>
      </w:rPr>
    </w:pPr>
    <w:r w:rsidRPr="00D062DD">
      <w:rPr>
        <w:rFonts w:ascii="Aptos" w:hAnsi="Aptos"/>
        <w:b/>
        <w:bCs/>
        <w:color w:val="07386D"/>
        <w:sz w:val="48"/>
        <w:szCs w:val="48"/>
      </w:rPr>
      <w:t>Temperature Guidelines:</w:t>
    </w:r>
    <w:r w:rsidR="00D062DD" w:rsidRPr="00D062DD">
      <w:rPr>
        <w:noProof/>
      </w:rPr>
      <w:t xml:space="preserve"> </w:t>
    </w:r>
  </w:p>
  <w:p w14:paraId="26652C84" w14:textId="2F3611E9" w:rsidR="00FB2898" w:rsidRPr="00390714" w:rsidRDefault="00D062DD" w:rsidP="00FB2898">
    <w:pPr>
      <w:rPr>
        <w:rFonts w:ascii="Aptos" w:hAnsi="Aptos"/>
        <w:b/>
        <w:bCs/>
        <w:color w:val="07386D"/>
        <w:sz w:val="40"/>
        <w:szCs w:val="40"/>
      </w:rPr>
    </w:pPr>
    <w:r>
      <w:rPr>
        <w:noProof/>
      </w:rPr>
      <mc:AlternateContent>
        <mc:Choice Requires="wps">
          <w:drawing>
            <wp:anchor distT="0" distB="0" distL="114300" distR="114300" simplePos="0" relativeHeight="251661312" behindDoc="0" locked="0" layoutInCell="1" allowOverlap="1" wp14:anchorId="5AF70FB6" wp14:editId="4859ED5D">
              <wp:simplePos x="0" y="0"/>
              <wp:positionH relativeFrom="margin">
                <wp:align>right</wp:align>
              </wp:positionH>
              <wp:positionV relativeFrom="paragraph">
                <wp:posOffset>152857</wp:posOffset>
              </wp:positionV>
              <wp:extent cx="5943600" cy="0"/>
              <wp:effectExtent l="19050" t="19050" r="19050" b="19050"/>
              <wp:wrapNone/>
              <wp:docPr id="261131277" name="Graphic 2"/>
              <wp:cNvGraphicFramePr/>
              <a:graphic xmlns:a="http://schemas.openxmlformats.org/drawingml/2006/main">
                <a:graphicData uri="http://schemas.microsoft.com/office/word/2010/wordprocessingShape">
                  <wps:wsp>
                    <wps:cNvSpPr/>
                    <wps:spPr>
                      <a:xfrm>
                        <a:off x="0" y="0"/>
                        <a:ext cx="5943600" cy="0"/>
                      </a:xfrm>
                      <a:custGeom>
                        <a:avLst/>
                        <a:gdLst/>
                        <a:ahLst/>
                        <a:cxnLst/>
                        <a:rect l="l" t="t" r="r" b="b"/>
                        <a:pathLst>
                          <a:path w="5523230" h="12700">
                            <a:moveTo>
                              <a:pt x="5522976" y="0"/>
                            </a:moveTo>
                            <a:lnTo>
                              <a:pt x="0" y="0"/>
                            </a:lnTo>
                            <a:lnTo>
                              <a:pt x="0" y="12192"/>
                            </a:lnTo>
                            <a:lnTo>
                              <a:pt x="5522976" y="12192"/>
                            </a:lnTo>
                            <a:lnTo>
                              <a:pt x="5522976" y="0"/>
                            </a:lnTo>
                            <a:close/>
                          </a:path>
                        </a:pathLst>
                      </a:custGeom>
                      <a:solidFill>
                        <a:srgbClr val="4F81BC"/>
                      </a:solidFill>
                      <a:ln w="28575">
                        <a:solidFill>
                          <a:schemeClr val="tx2"/>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A6C9" id="Graphic 2" o:spid="_x0000_s1026" style="position:absolute;margin-left:416.8pt;margin-top:12.05pt;width:468pt;height:0;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5523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" path="m5522976,l,,,12192r5522976,l5522976,xe" fillcolor="#4f81bc" strokecolor="#1f497d [3215]" strokeweight="2.25pt">
              <v:path arrowok="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40"/>
    <w:multiLevelType w:val="hybridMultilevel"/>
    <w:tmpl w:val="88F4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F06F2"/>
    <w:multiLevelType w:val="hybridMultilevel"/>
    <w:tmpl w:val="5C64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D02EC"/>
    <w:multiLevelType w:val="hybridMultilevel"/>
    <w:tmpl w:val="DF16F4A2"/>
    <w:lvl w:ilvl="0" w:tplc="79AADB24">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ADC2697E">
      <w:numFmt w:val="bullet"/>
      <w:lvlText w:val="•"/>
      <w:lvlJc w:val="left"/>
      <w:pPr>
        <w:ind w:left="1908" w:hanging="361"/>
      </w:pPr>
      <w:rPr>
        <w:rFonts w:hint="default"/>
        <w:lang w:val="en-US" w:eastAsia="en-US" w:bidi="ar-SA"/>
      </w:rPr>
    </w:lvl>
    <w:lvl w:ilvl="2" w:tplc="827EB286">
      <w:numFmt w:val="bullet"/>
      <w:lvlText w:val="•"/>
      <w:lvlJc w:val="left"/>
      <w:pPr>
        <w:ind w:left="2736" w:hanging="361"/>
      </w:pPr>
      <w:rPr>
        <w:rFonts w:hint="default"/>
        <w:lang w:val="en-US" w:eastAsia="en-US" w:bidi="ar-SA"/>
      </w:rPr>
    </w:lvl>
    <w:lvl w:ilvl="3" w:tplc="2BF83F1E">
      <w:numFmt w:val="bullet"/>
      <w:lvlText w:val="•"/>
      <w:lvlJc w:val="left"/>
      <w:pPr>
        <w:ind w:left="3564" w:hanging="361"/>
      </w:pPr>
      <w:rPr>
        <w:rFonts w:hint="default"/>
        <w:lang w:val="en-US" w:eastAsia="en-US" w:bidi="ar-SA"/>
      </w:rPr>
    </w:lvl>
    <w:lvl w:ilvl="4" w:tplc="EDD6B452">
      <w:numFmt w:val="bullet"/>
      <w:lvlText w:val="•"/>
      <w:lvlJc w:val="left"/>
      <w:pPr>
        <w:ind w:left="4392" w:hanging="361"/>
      </w:pPr>
      <w:rPr>
        <w:rFonts w:hint="default"/>
        <w:lang w:val="en-US" w:eastAsia="en-US" w:bidi="ar-SA"/>
      </w:rPr>
    </w:lvl>
    <w:lvl w:ilvl="5" w:tplc="4B686CA8">
      <w:numFmt w:val="bullet"/>
      <w:lvlText w:val="•"/>
      <w:lvlJc w:val="left"/>
      <w:pPr>
        <w:ind w:left="5220" w:hanging="361"/>
      </w:pPr>
      <w:rPr>
        <w:rFonts w:hint="default"/>
        <w:lang w:val="en-US" w:eastAsia="en-US" w:bidi="ar-SA"/>
      </w:rPr>
    </w:lvl>
    <w:lvl w:ilvl="6" w:tplc="D6C83228">
      <w:numFmt w:val="bullet"/>
      <w:lvlText w:val="•"/>
      <w:lvlJc w:val="left"/>
      <w:pPr>
        <w:ind w:left="6048" w:hanging="361"/>
      </w:pPr>
      <w:rPr>
        <w:rFonts w:hint="default"/>
        <w:lang w:val="en-US" w:eastAsia="en-US" w:bidi="ar-SA"/>
      </w:rPr>
    </w:lvl>
    <w:lvl w:ilvl="7" w:tplc="74A69884">
      <w:numFmt w:val="bullet"/>
      <w:lvlText w:val="•"/>
      <w:lvlJc w:val="left"/>
      <w:pPr>
        <w:ind w:left="6876" w:hanging="361"/>
      </w:pPr>
      <w:rPr>
        <w:rFonts w:hint="default"/>
        <w:lang w:val="en-US" w:eastAsia="en-US" w:bidi="ar-SA"/>
      </w:rPr>
    </w:lvl>
    <w:lvl w:ilvl="8" w:tplc="673A8EF0">
      <w:numFmt w:val="bullet"/>
      <w:lvlText w:val="•"/>
      <w:lvlJc w:val="left"/>
      <w:pPr>
        <w:ind w:left="7704" w:hanging="361"/>
      </w:pPr>
      <w:rPr>
        <w:rFonts w:hint="default"/>
        <w:lang w:val="en-US" w:eastAsia="en-US" w:bidi="ar-SA"/>
      </w:rPr>
    </w:lvl>
  </w:abstractNum>
  <w:abstractNum w:abstractNumId="3" w15:restartNumberingAfterBreak="0">
    <w:nsid w:val="290A156D"/>
    <w:multiLevelType w:val="hybridMultilevel"/>
    <w:tmpl w:val="5166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774571">
    <w:abstractNumId w:val="2"/>
  </w:num>
  <w:num w:numId="2" w16cid:durableId="1897084504">
    <w:abstractNumId w:val="0"/>
  </w:num>
  <w:num w:numId="3" w16cid:durableId="2082478498">
    <w:abstractNumId w:val="1"/>
  </w:num>
  <w:num w:numId="4" w16cid:durableId="142653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C0"/>
    <w:rsid w:val="000E6005"/>
    <w:rsid w:val="002818D9"/>
    <w:rsid w:val="00290699"/>
    <w:rsid w:val="00390714"/>
    <w:rsid w:val="00425C81"/>
    <w:rsid w:val="00605C5E"/>
    <w:rsid w:val="00783171"/>
    <w:rsid w:val="0089798A"/>
    <w:rsid w:val="00B908C0"/>
    <w:rsid w:val="00D05396"/>
    <w:rsid w:val="00D062DD"/>
    <w:rsid w:val="00D4498B"/>
    <w:rsid w:val="00FB2898"/>
    <w:rsid w:val="00FF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9207"/>
  <w15:docId w15:val="{8FEF5869-E9D4-4922-AC21-368A9795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360"/>
    </w:pPr>
  </w:style>
  <w:style w:type="paragraph" w:styleId="ListParagraph">
    <w:name w:val="List Paragraph"/>
    <w:basedOn w:val="Normal"/>
    <w:uiPriority w:val="34"/>
    <w:qFormat/>
    <w:pPr>
      <w:spacing w:before="3"/>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0714"/>
    <w:rPr>
      <w:color w:val="0000FF" w:themeColor="hyperlink"/>
      <w:u w:val="single"/>
    </w:rPr>
  </w:style>
  <w:style w:type="character" w:styleId="UnresolvedMention">
    <w:name w:val="Unresolved Mention"/>
    <w:basedOn w:val="DefaultParagraphFont"/>
    <w:uiPriority w:val="99"/>
    <w:semiHidden/>
    <w:unhideWhenUsed/>
    <w:rsid w:val="00390714"/>
    <w:rPr>
      <w:color w:val="605E5C"/>
      <w:shd w:val="clear" w:color="auto" w:fill="E1DFDD"/>
    </w:rPr>
  </w:style>
  <w:style w:type="paragraph" w:styleId="Header">
    <w:name w:val="header"/>
    <w:basedOn w:val="Normal"/>
    <w:link w:val="HeaderChar"/>
    <w:uiPriority w:val="99"/>
    <w:unhideWhenUsed/>
    <w:rsid w:val="00FB2898"/>
    <w:pPr>
      <w:tabs>
        <w:tab w:val="center" w:pos="4680"/>
        <w:tab w:val="right" w:pos="9360"/>
      </w:tabs>
    </w:pPr>
  </w:style>
  <w:style w:type="character" w:customStyle="1" w:styleId="HeaderChar">
    <w:name w:val="Header Char"/>
    <w:basedOn w:val="DefaultParagraphFont"/>
    <w:link w:val="Header"/>
    <w:uiPriority w:val="99"/>
    <w:rsid w:val="00FB2898"/>
    <w:rPr>
      <w:rFonts w:ascii="Cambria" w:eastAsia="Cambria" w:hAnsi="Cambria" w:cs="Cambria"/>
    </w:rPr>
  </w:style>
  <w:style w:type="paragraph" w:styleId="Footer">
    <w:name w:val="footer"/>
    <w:basedOn w:val="Normal"/>
    <w:link w:val="FooterChar"/>
    <w:uiPriority w:val="99"/>
    <w:unhideWhenUsed/>
    <w:rsid w:val="00FB2898"/>
    <w:pPr>
      <w:tabs>
        <w:tab w:val="center" w:pos="4680"/>
        <w:tab w:val="right" w:pos="9360"/>
      </w:tabs>
    </w:pPr>
  </w:style>
  <w:style w:type="character" w:customStyle="1" w:styleId="FooterChar">
    <w:name w:val="Footer Char"/>
    <w:basedOn w:val="DefaultParagraphFont"/>
    <w:link w:val="Footer"/>
    <w:uiPriority w:val="99"/>
    <w:rsid w:val="00FB2898"/>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ergy@ke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2020e55-766a-4baa-a277-94a24f1b11b7}" enabled="0" method="" siteId="{92020e55-766a-4baa-a277-94a24f1b11b7}"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2412</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Luis Ribeiro (Staff)</cp:lastModifiedBy>
  <cp:revision>6</cp:revision>
  <dcterms:created xsi:type="dcterms:W3CDTF">2026-04-12T15:34:00Z</dcterms:created>
  <dcterms:modified xsi:type="dcterms:W3CDTF">2026-04-12T15:43:00Z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Acrobat PDFMaker 25 for Word</vt:lpwstr>
  </property>
  <property fmtid="{D5CDD505-2E9C-101B-9397-08002B2CF9AE}" pid="4" name="LastSaved">
    <vt:filetime>2026-04-09T00:00:00Z</vt:filetime>
  </property>
  <property fmtid="{D5CDD505-2E9C-101B-9397-08002B2CF9AE}" pid="5" name="Producer">
    <vt:lpwstr>Adobe PDF Library 25.1.250</vt:lpwstr>
  </property>
  <property fmtid="{D5CDD505-2E9C-101B-9397-08002B2CF9AE}" pid="6" name="SourceModified">
    <vt:lpwstr>D:20250522142927</vt:lpwstr>
  </property>
</Properties>
</file>