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6F" w:rsidRDefault="00EB5A6E">
      <w:pPr>
        <w:pStyle w:val="BodyText"/>
        <w:ind w:left="4135"/>
        <w:rPr>
          <w:rFonts w:ascii="Times New Roman"/>
          <w:sz w:val="20"/>
        </w:rPr>
      </w:pPr>
      <w:r>
        <w:rPr>
          <w:rFonts w:ascii="Times New Roman"/>
          <w:noProof/>
          <w:sz w:val="20"/>
        </w:rPr>
        <w:drawing>
          <wp:inline distT="0" distB="0" distL="0" distR="0" wp14:anchorId="7F0F0583" wp14:editId="07777777">
            <wp:extent cx="1258332" cy="1219200"/>
            <wp:effectExtent l="0" t="0" r="0" b="0"/>
            <wp:docPr id="1" name="Image 1" descr="Kean University circular seal with torch and crest in 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58332" cy="1219200"/>
                    </a:xfrm>
                    <a:prstGeom prst="rect">
                      <a:avLst/>
                    </a:prstGeom>
                  </pic:spPr>
                </pic:pic>
              </a:graphicData>
            </a:graphic>
          </wp:inline>
        </w:drawing>
      </w:r>
    </w:p>
    <w:p w14:paraId="29FE61B5" w14:textId="77777777" w:rsidR="00270B6F" w:rsidRDefault="00EB5A6E">
      <w:pPr>
        <w:pStyle w:val="Title"/>
        <w:rPr>
          <w:u w:val="none"/>
        </w:rPr>
      </w:pPr>
      <w:r>
        <w:rPr>
          <w:u w:val="thick"/>
        </w:rPr>
        <w:t>Kean</w:t>
      </w:r>
      <w:r>
        <w:rPr>
          <w:spacing w:val="-7"/>
          <w:u w:val="thick"/>
        </w:rPr>
        <w:t xml:space="preserve"> </w:t>
      </w:r>
      <w:r>
        <w:rPr>
          <w:spacing w:val="-2"/>
          <w:u w:val="thick"/>
        </w:rPr>
        <w:t>University</w:t>
      </w:r>
    </w:p>
    <w:p w14:paraId="7FCB4366" w14:textId="77777777" w:rsidR="00270B6F" w:rsidRDefault="00EB5A6E">
      <w:pPr>
        <w:pStyle w:val="Heading1"/>
        <w:spacing w:before="76"/>
        <w:ind w:firstLine="0"/>
        <w:jc w:val="center"/>
        <w:rPr>
          <w:u w:val="none"/>
        </w:rPr>
      </w:pPr>
      <w:r>
        <w:rPr>
          <w:u w:val="thick"/>
        </w:rPr>
        <w:t>Kean</w:t>
      </w:r>
      <w:r>
        <w:rPr>
          <w:spacing w:val="-1"/>
          <w:u w:val="thick"/>
        </w:rPr>
        <w:t xml:space="preserve"> </w:t>
      </w:r>
      <w:r>
        <w:rPr>
          <w:u w:val="thick"/>
        </w:rPr>
        <w:t>Global</w:t>
      </w:r>
      <w:r>
        <w:rPr>
          <w:spacing w:val="-1"/>
          <w:u w:val="thick"/>
        </w:rPr>
        <w:t xml:space="preserve"> </w:t>
      </w:r>
      <w:r>
        <w:rPr>
          <w:u w:val="thick"/>
        </w:rPr>
        <w:t>Policy</w:t>
      </w:r>
      <w:r>
        <w:rPr>
          <w:spacing w:val="-1"/>
          <w:u w:val="thick"/>
        </w:rPr>
        <w:t xml:space="preserve"> </w:t>
      </w:r>
      <w:r>
        <w:rPr>
          <w:u w:val="thick"/>
        </w:rPr>
        <w:t>on</w:t>
      </w:r>
      <w:r>
        <w:rPr>
          <w:spacing w:val="-1"/>
          <w:u w:val="thick"/>
        </w:rPr>
        <w:t xml:space="preserve"> </w:t>
      </w:r>
      <w:r>
        <w:rPr>
          <w:u w:val="thick"/>
        </w:rPr>
        <w:t>Resolution</w:t>
      </w:r>
      <w:r>
        <w:rPr>
          <w:spacing w:val="-1"/>
          <w:u w:val="thick"/>
        </w:rPr>
        <w:t xml:space="preserve"> </w:t>
      </w:r>
      <w:r>
        <w:rPr>
          <w:u w:val="thick"/>
        </w:rPr>
        <w:t>of</w:t>
      </w:r>
      <w:r>
        <w:rPr>
          <w:spacing w:val="-1"/>
          <w:u w:val="thick"/>
        </w:rPr>
        <w:t xml:space="preserve"> </w:t>
      </w:r>
      <w:r>
        <w:rPr>
          <w:u w:val="thick"/>
        </w:rPr>
        <w:t>Student</w:t>
      </w:r>
      <w:r>
        <w:rPr>
          <w:spacing w:val="-1"/>
          <w:u w:val="thick"/>
        </w:rPr>
        <w:t xml:space="preserve"> </w:t>
      </w:r>
      <w:r>
        <w:rPr>
          <w:spacing w:val="-2"/>
          <w:u w:val="thick"/>
        </w:rPr>
        <w:t>Complaints</w:t>
      </w:r>
    </w:p>
    <w:p w14:paraId="30263A5A" w14:textId="77777777" w:rsidR="00270B6F" w:rsidRDefault="00EB5A6E">
      <w:pPr>
        <w:pStyle w:val="BodyText"/>
        <w:spacing w:before="272"/>
        <w:ind w:left="480" w:right="615"/>
      </w:pPr>
      <w:r>
        <w:t>The purpose of this Policy is to outline the procedures for submitting and resolving</w:t>
      </w:r>
      <w:r>
        <w:rPr>
          <w:spacing w:val="-5"/>
        </w:rPr>
        <w:t xml:space="preserve"> </w:t>
      </w:r>
      <w:r>
        <w:t>student</w:t>
      </w:r>
      <w:r>
        <w:rPr>
          <w:spacing w:val="-5"/>
        </w:rPr>
        <w:t xml:space="preserve"> </w:t>
      </w:r>
      <w:r>
        <w:t>complaints</w:t>
      </w:r>
      <w:r>
        <w:rPr>
          <w:spacing w:val="-5"/>
        </w:rPr>
        <w:t xml:space="preserve"> </w:t>
      </w:r>
      <w:r>
        <w:t>concerning</w:t>
      </w:r>
      <w:r>
        <w:rPr>
          <w:spacing w:val="-5"/>
        </w:rPr>
        <w:t xml:space="preserve"> </w:t>
      </w:r>
      <w:r>
        <w:t>programs</w:t>
      </w:r>
      <w:r>
        <w:rPr>
          <w:spacing w:val="-5"/>
        </w:rPr>
        <w:t xml:space="preserve"> </w:t>
      </w:r>
      <w:r>
        <w:t>and</w:t>
      </w:r>
      <w:r>
        <w:rPr>
          <w:spacing w:val="-5"/>
        </w:rPr>
        <w:t xml:space="preserve"> </w:t>
      </w:r>
      <w:r>
        <w:t>courses</w:t>
      </w:r>
      <w:r>
        <w:rPr>
          <w:spacing w:val="-5"/>
        </w:rPr>
        <w:t xml:space="preserve"> </w:t>
      </w:r>
      <w:r>
        <w:t>offered</w:t>
      </w:r>
      <w:r>
        <w:rPr>
          <w:spacing w:val="-5"/>
        </w:rPr>
        <w:t xml:space="preserve"> </w:t>
      </w:r>
      <w:r>
        <w:t>or managed by Kean Global of Kean University.</w:t>
      </w:r>
    </w:p>
    <w:p w14:paraId="0A37501D" w14:textId="77777777" w:rsidR="00270B6F" w:rsidRDefault="00270B6F">
      <w:pPr>
        <w:pStyle w:val="BodyText"/>
        <w:spacing w:before="5"/>
      </w:pPr>
    </w:p>
    <w:p w14:paraId="1F01B27E" w14:textId="77777777" w:rsidR="00270B6F" w:rsidRDefault="00EB5A6E">
      <w:pPr>
        <w:pStyle w:val="Heading1"/>
        <w:numPr>
          <w:ilvl w:val="0"/>
          <w:numId w:val="1"/>
        </w:numPr>
        <w:tabs>
          <w:tab w:val="left" w:pos="1199"/>
        </w:tabs>
        <w:ind w:left="1199" w:hanging="359"/>
        <w:rPr>
          <w:u w:val="none"/>
        </w:rPr>
      </w:pPr>
      <w:r>
        <w:rPr>
          <w:spacing w:val="-2"/>
          <w:u w:val="thick"/>
        </w:rPr>
        <w:t>Policy</w:t>
      </w:r>
    </w:p>
    <w:p w14:paraId="01DDEB54" w14:textId="19031333" w:rsidR="00270B6F" w:rsidRDefault="3323BE98">
      <w:pPr>
        <w:pStyle w:val="BodyText"/>
        <w:spacing w:before="271" w:line="237" w:lineRule="auto"/>
        <w:ind w:left="480"/>
      </w:pPr>
      <w:r>
        <w:t xml:space="preserve">Kean University is a participant in the State Authorization Reciprocity Agreement (“SARA”), a voluntary agreement among member states and U.S. territories that establishes national standards for postsecondary distance-education courses and programs. As provided in the </w:t>
      </w:r>
      <w:hyperlink r:id="rId6">
        <w:r w:rsidRPr="3323BE98">
          <w:rPr>
            <w:rStyle w:val="Hyperlink"/>
          </w:rPr>
          <w:t>SARA Policy Manual</w:t>
        </w:r>
      </w:hyperlink>
      <w:r>
        <w:rPr>
          <w:color w:val="0562C1"/>
        </w:rPr>
        <w:t xml:space="preserve">, </w:t>
      </w:r>
      <w:r>
        <w:t>students must first submit any complaints concerning the Kean Global program and/or courses to Kean University via already established internal procedures. Certain complaints may then be appealed to the</w:t>
      </w:r>
      <w:r>
        <w:rPr>
          <w:spacing w:val="-4"/>
        </w:rPr>
        <w:t xml:space="preserve"> </w:t>
      </w:r>
      <w:r>
        <w:t>New</w:t>
      </w:r>
      <w:r>
        <w:rPr>
          <w:spacing w:val="-4"/>
        </w:rPr>
        <w:t xml:space="preserve"> </w:t>
      </w:r>
      <w:r>
        <w:t>Jersey</w:t>
      </w:r>
      <w:r>
        <w:rPr>
          <w:spacing w:val="-4"/>
        </w:rPr>
        <w:t xml:space="preserve"> </w:t>
      </w:r>
      <w:r>
        <w:t>Office</w:t>
      </w:r>
      <w:r>
        <w:rPr>
          <w:spacing w:val="-4"/>
        </w:rPr>
        <w:t xml:space="preserve"> </w:t>
      </w:r>
      <w:r>
        <w:t>of</w:t>
      </w:r>
      <w:r>
        <w:rPr>
          <w:spacing w:val="-4"/>
        </w:rPr>
        <w:t xml:space="preserve"> </w:t>
      </w:r>
      <w:r>
        <w:t>the</w:t>
      </w:r>
      <w:r>
        <w:rPr>
          <w:spacing w:val="-4"/>
        </w:rPr>
        <w:t xml:space="preserve"> </w:t>
      </w:r>
      <w:r>
        <w:t>Secretary</w:t>
      </w:r>
      <w:r>
        <w:rPr>
          <w:spacing w:val="-3"/>
        </w:rPr>
        <w:t xml:space="preserve"> </w:t>
      </w:r>
      <w:r>
        <w:t>of</w:t>
      </w:r>
      <w:r>
        <w:rPr>
          <w:spacing w:val="-4"/>
        </w:rPr>
        <w:t xml:space="preserve"> </w:t>
      </w:r>
      <w:r>
        <w:t>Higher</w:t>
      </w:r>
      <w:r>
        <w:rPr>
          <w:spacing w:val="-4"/>
        </w:rPr>
        <w:t xml:space="preserve"> </w:t>
      </w:r>
      <w:r>
        <w:t>Education</w:t>
      </w:r>
      <w:r>
        <w:rPr>
          <w:spacing w:val="-4"/>
        </w:rPr>
        <w:t xml:space="preserve"> </w:t>
      </w:r>
      <w:r>
        <w:t>(“NJOSHE”)</w:t>
      </w:r>
      <w:r>
        <w:rPr>
          <w:spacing w:val="-4"/>
        </w:rPr>
        <w:t xml:space="preserve"> </w:t>
      </w:r>
      <w:r>
        <w:t>as</w:t>
      </w:r>
      <w:r>
        <w:rPr>
          <w:spacing w:val="-4"/>
        </w:rPr>
        <w:t xml:space="preserve"> </w:t>
      </w:r>
      <w:r>
        <w:t>the</w:t>
      </w:r>
      <w:r>
        <w:rPr>
          <w:spacing w:val="-4"/>
        </w:rPr>
        <w:t xml:space="preserve"> </w:t>
      </w:r>
      <w:r>
        <w:t>SARA State Portal Entity.</w:t>
      </w:r>
    </w:p>
    <w:p w14:paraId="04BF96C1" w14:textId="77777777" w:rsidR="00270B6F" w:rsidRDefault="00EB5A6E">
      <w:pPr>
        <w:pStyle w:val="BodyText"/>
        <w:spacing w:before="271"/>
        <w:ind w:left="480" w:right="615"/>
      </w:pPr>
      <w:r>
        <w:t>The</w:t>
      </w:r>
      <w:r>
        <w:rPr>
          <w:spacing w:val="-5"/>
        </w:rPr>
        <w:t xml:space="preserve"> </w:t>
      </w:r>
      <w:r>
        <w:t>following</w:t>
      </w:r>
      <w:r>
        <w:rPr>
          <w:spacing w:val="-5"/>
        </w:rPr>
        <w:t xml:space="preserve"> </w:t>
      </w:r>
      <w:r>
        <w:t>is</w:t>
      </w:r>
      <w:r>
        <w:rPr>
          <w:spacing w:val="-5"/>
        </w:rPr>
        <w:t xml:space="preserve"> </w:t>
      </w:r>
      <w:r>
        <w:t>Kean</w:t>
      </w:r>
      <w:r>
        <w:rPr>
          <w:spacing w:val="-5"/>
        </w:rPr>
        <w:t xml:space="preserve"> </w:t>
      </w:r>
      <w:r>
        <w:t>University’s</w:t>
      </w:r>
      <w:r>
        <w:rPr>
          <w:spacing w:val="-3"/>
        </w:rPr>
        <w:t xml:space="preserve"> </w:t>
      </w:r>
      <w:r>
        <w:t>procedure</w:t>
      </w:r>
      <w:r>
        <w:rPr>
          <w:spacing w:val="-5"/>
        </w:rPr>
        <w:t xml:space="preserve"> </w:t>
      </w:r>
      <w:r>
        <w:t>for</w:t>
      </w:r>
      <w:r>
        <w:rPr>
          <w:spacing w:val="-5"/>
        </w:rPr>
        <w:t xml:space="preserve"> </w:t>
      </w:r>
      <w:r>
        <w:t>submitting</w:t>
      </w:r>
      <w:r>
        <w:rPr>
          <w:spacing w:val="-5"/>
        </w:rPr>
        <w:t xml:space="preserve"> </w:t>
      </w:r>
      <w:r>
        <w:t>and</w:t>
      </w:r>
      <w:r>
        <w:rPr>
          <w:spacing w:val="-5"/>
        </w:rPr>
        <w:t xml:space="preserve"> </w:t>
      </w:r>
      <w:r>
        <w:t>resolving</w:t>
      </w:r>
      <w:r>
        <w:rPr>
          <w:spacing w:val="-5"/>
        </w:rPr>
        <w:t xml:space="preserve"> </w:t>
      </w:r>
      <w:r>
        <w:t xml:space="preserve">student complaints concerning </w:t>
      </w:r>
      <w:proofErr w:type="gramStart"/>
      <w:r>
        <w:t>Kean</w:t>
      </w:r>
      <w:proofErr w:type="gramEnd"/>
      <w:r>
        <w:t xml:space="preserve"> Global program and courses:</w:t>
      </w:r>
    </w:p>
    <w:p w14:paraId="65E5B313" w14:textId="77777777" w:rsidR="00270B6F" w:rsidRDefault="3323BE98" w:rsidP="3323BE98">
      <w:pPr>
        <w:pStyle w:val="ListParagraph"/>
        <w:numPr>
          <w:ilvl w:val="1"/>
          <w:numId w:val="1"/>
        </w:numPr>
        <w:tabs>
          <w:tab w:val="left" w:pos="1558"/>
          <w:tab w:val="left" w:pos="1560"/>
        </w:tabs>
        <w:ind w:right="144"/>
        <w:rPr>
          <w:sz w:val="24"/>
          <w:szCs w:val="24"/>
        </w:rPr>
      </w:pPr>
      <w:r w:rsidRPr="3323BE98">
        <w:rPr>
          <w:sz w:val="24"/>
          <w:szCs w:val="24"/>
        </w:rPr>
        <w:t>Student complaints concerning student grades</w:t>
      </w:r>
      <w:r w:rsidRPr="3323BE98">
        <w:rPr>
          <w:spacing w:val="80"/>
          <w:sz w:val="24"/>
          <w:szCs w:val="24"/>
        </w:rPr>
        <w:t xml:space="preserve"> </w:t>
      </w:r>
      <w:r w:rsidRPr="3323BE98">
        <w:rPr>
          <w:sz w:val="24"/>
          <w:szCs w:val="24"/>
        </w:rPr>
        <w:t>are governed entirely by the policies contained within Kean University’s</w:t>
      </w:r>
      <w:r w:rsidRPr="3323BE98">
        <w:rPr>
          <w:spacing w:val="40"/>
          <w:sz w:val="24"/>
          <w:szCs w:val="24"/>
        </w:rPr>
        <w:t xml:space="preserve"> </w:t>
      </w:r>
      <w:hyperlink r:id="rId7" w:history="1">
        <w:r w:rsidRPr="3323BE98">
          <w:rPr>
            <w:rStyle w:val="Hyperlink"/>
            <w:sz w:val="24"/>
            <w:szCs w:val="24"/>
          </w:rPr>
          <w:t>Undergraduate and Graduate</w:t>
        </w:r>
      </w:hyperlink>
      <w:r w:rsidRPr="3323BE98">
        <w:rPr>
          <w:color w:val="0562C1"/>
          <w:sz w:val="24"/>
          <w:szCs w:val="24"/>
        </w:rPr>
        <w:t xml:space="preserve"> </w:t>
      </w:r>
      <w:r w:rsidR="00854134" w:rsidRPr="7EBAA0ED">
        <w:rPr>
          <w:sz w:val="24"/>
          <w:szCs w:val="24"/>
        </w:rPr>
        <w:t>Catalogs</w:t>
      </w:r>
      <w:r w:rsidRPr="3323BE98">
        <w:rPr>
          <w:spacing w:val="40"/>
          <w:sz w:val="24"/>
          <w:szCs w:val="24"/>
        </w:rPr>
        <w:t>.</w:t>
      </w:r>
      <w:r w:rsidRPr="3323BE98">
        <w:rPr>
          <w:sz w:val="24"/>
          <w:szCs w:val="24"/>
        </w:rPr>
        <w:t xml:space="preserve"> </w:t>
      </w:r>
      <w:r w:rsidRPr="3323BE98">
        <w:rPr>
          <w:spacing w:val="-4"/>
          <w:sz w:val="24"/>
          <w:szCs w:val="24"/>
        </w:rPr>
        <w:t>Such</w:t>
      </w:r>
      <w:r w:rsidRPr="3323BE98">
        <w:rPr>
          <w:sz w:val="24"/>
          <w:szCs w:val="24"/>
        </w:rPr>
        <w:t xml:space="preserve"> </w:t>
      </w:r>
      <w:r w:rsidRPr="3323BE98">
        <w:rPr>
          <w:spacing w:val="-4"/>
          <w:sz w:val="24"/>
          <w:szCs w:val="24"/>
        </w:rPr>
        <w:t>complaints</w:t>
      </w:r>
      <w:r w:rsidRPr="3323BE98">
        <w:rPr>
          <w:sz w:val="24"/>
          <w:szCs w:val="24"/>
        </w:rPr>
        <w:t xml:space="preserve"> </w:t>
      </w:r>
      <w:r w:rsidRPr="3323BE98">
        <w:rPr>
          <w:spacing w:val="-4"/>
          <w:sz w:val="24"/>
          <w:szCs w:val="24"/>
        </w:rPr>
        <w:t>may</w:t>
      </w:r>
      <w:r w:rsidRPr="3323BE98">
        <w:rPr>
          <w:sz w:val="24"/>
          <w:szCs w:val="24"/>
        </w:rPr>
        <w:t xml:space="preserve"> </w:t>
      </w:r>
      <w:r w:rsidRPr="3323BE98">
        <w:rPr>
          <w:spacing w:val="-4"/>
          <w:sz w:val="24"/>
          <w:szCs w:val="24"/>
        </w:rPr>
        <w:t>not</w:t>
      </w:r>
      <w:r w:rsidRPr="3323BE98">
        <w:rPr>
          <w:sz w:val="24"/>
          <w:szCs w:val="24"/>
        </w:rPr>
        <w:t xml:space="preserve"> </w:t>
      </w:r>
      <w:r w:rsidRPr="3323BE98">
        <w:rPr>
          <w:spacing w:val="-4"/>
          <w:sz w:val="24"/>
          <w:szCs w:val="24"/>
        </w:rPr>
        <w:t>be</w:t>
      </w:r>
      <w:r w:rsidRPr="3323BE98">
        <w:rPr>
          <w:sz w:val="24"/>
          <w:szCs w:val="24"/>
        </w:rPr>
        <w:t xml:space="preserve"> </w:t>
      </w:r>
      <w:proofErr w:type="gramStart"/>
      <w:r w:rsidRPr="3323BE98">
        <w:rPr>
          <w:spacing w:val="-4"/>
          <w:sz w:val="24"/>
          <w:szCs w:val="24"/>
        </w:rPr>
        <w:t>appealed</w:t>
      </w:r>
      <w:proofErr w:type="gramEnd"/>
      <w:r w:rsidRPr="3323BE98">
        <w:rPr>
          <w:sz w:val="24"/>
          <w:szCs w:val="24"/>
        </w:rPr>
        <w:t xml:space="preserve"> </w:t>
      </w:r>
      <w:r w:rsidRPr="3323BE98">
        <w:rPr>
          <w:spacing w:val="-4"/>
          <w:sz w:val="24"/>
          <w:szCs w:val="24"/>
        </w:rPr>
        <w:t>outside</w:t>
      </w:r>
      <w:r w:rsidRPr="3323BE98">
        <w:rPr>
          <w:sz w:val="24"/>
          <w:szCs w:val="24"/>
        </w:rPr>
        <w:t xml:space="preserve"> </w:t>
      </w:r>
      <w:r w:rsidRPr="3323BE98">
        <w:rPr>
          <w:spacing w:val="-4"/>
          <w:sz w:val="24"/>
          <w:szCs w:val="24"/>
        </w:rPr>
        <w:t>of</w:t>
      </w:r>
      <w:r w:rsidRPr="3323BE98">
        <w:rPr>
          <w:sz w:val="24"/>
          <w:szCs w:val="24"/>
        </w:rPr>
        <w:t xml:space="preserve"> </w:t>
      </w:r>
      <w:r w:rsidRPr="3323BE98">
        <w:rPr>
          <w:spacing w:val="-8"/>
          <w:sz w:val="24"/>
          <w:szCs w:val="24"/>
        </w:rPr>
        <w:t xml:space="preserve">Kean </w:t>
      </w:r>
      <w:r w:rsidRPr="3323BE98">
        <w:rPr>
          <w:spacing w:val="-2"/>
          <w:sz w:val="24"/>
          <w:szCs w:val="24"/>
        </w:rPr>
        <w:t>University.</w:t>
      </w:r>
    </w:p>
    <w:p w14:paraId="26F89CF1" w14:textId="5A6EF0B6" w:rsidR="00270B6F" w:rsidRDefault="3323BE98" w:rsidP="3323BE98">
      <w:pPr>
        <w:pStyle w:val="ListParagraph"/>
        <w:numPr>
          <w:ilvl w:val="2"/>
          <w:numId w:val="1"/>
        </w:numPr>
        <w:tabs>
          <w:tab w:val="left" w:pos="2277"/>
          <w:tab w:val="left" w:pos="2279"/>
        </w:tabs>
        <w:ind w:left="2279" w:right="607"/>
        <w:rPr>
          <w:sz w:val="24"/>
          <w:szCs w:val="24"/>
        </w:rPr>
      </w:pPr>
      <w:r w:rsidRPr="3323BE98">
        <w:rPr>
          <w:sz w:val="24"/>
          <w:szCs w:val="24"/>
        </w:rPr>
        <w:t xml:space="preserve">Students wishing to appeal a grade for a Kean Global course must follow the outlined </w:t>
      </w:r>
      <w:hyperlink r:id="rId8" w:history="1">
        <w:r w:rsidR="008F3541" w:rsidRPr="5A90A892">
          <w:rPr>
            <w:rStyle w:val="Hyperlink"/>
            <w:color w:val="4F81BD" w:themeColor="accent1"/>
            <w:sz w:val="24"/>
            <w:szCs w:val="24"/>
          </w:rPr>
          <w:t>Undergraduate Academic Standards, Policies and Procedures</w:t>
        </w:r>
      </w:hyperlink>
      <w:hyperlink r:id="rId9">
        <w:r w:rsidR="008F3541" w:rsidRPr="5A90A892">
          <w:rPr>
            <w:color w:val="0563C1"/>
            <w:sz w:val="24"/>
            <w:szCs w:val="24"/>
          </w:rPr>
          <w:t xml:space="preserve"> </w:t>
        </w:r>
      </w:hyperlink>
      <w:r w:rsidR="008F3541" w:rsidRPr="5A90A892">
        <w:rPr>
          <w:sz w:val="24"/>
          <w:szCs w:val="24"/>
        </w:rPr>
        <w:t>or</w:t>
      </w:r>
      <w:hyperlink r:id="rId10">
        <w:r w:rsidR="008F3541" w:rsidRPr="5A90A892">
          <w:rPr>
            <w:sz w:val="24"/>
            <w:szCs w:val="24"/>
          </w:rPr>
          <w:t xml:space="preserve"> </w:t>
        </w:r>
        <w:r w:rsidR="008F3541" w:rsidRPr="00351FB9">
          <w:rPr>
            <w:color w:val="4F81BD" w:themeColor="accent1"/>
            <w:sz w:val="24"/>
            <w:szCs w:val="24"/>
            <w:u w:val="single"/>
          </w:rPr>
          <w:t>Graduate Academic Standards, Policies and Procedures</w:t>
        </w:r>
      </w:hyperlink>
      <w:r w:rsidR="008F3541">
        <w:t xml:space="preserve"> </w:t>
      </w:r>
      <w:r w:rsidRPr="3323BE98">
        <w:rPr>
          <w:sz w:val="24"/>
          <w:szCs w:val="24"/>
        </w:rPr>
        <w:t>in Kean University’s Catalog, as appropriate.</w:t>
      </w:r>
      <w:r w:rsidRPr="3323BE98">
        <w:rPr>
          <w:spacing w:val="40"/>
          <w:sz w:val="24"/>
          <w:szCs w:val="24"/>
        </w:rPr>
        <w:t xml:space="preserve"> </w:t>
      </w:r>
      <w:r w:rsidRPr="3323BE98">
        <w:rPr>
          <w:sz w:val="24"/>
          <w:szCs w:val="24"/>
        </w:rPr>
        <w:t>Students</w:t>
      </w:r>
      <w:r w:rsidRPr="3323BE98">
        <w:rPr>
          <w:spacing w:val="-4"/>
          <w:sz w:val="24"/>
          <w:szCs w:val="24"/>
        </w:rPr>
        <w:t xml:space="preserve"> </w:t>
      </w:r>
      <w:r w:rsidRPr="3323BE98">
        <w:rPr>
          <w:sz w:val="24"/>
          <w:szCs w:val="24"/>
        </w:rPr>
        <w:t>wishing</w:t>
      </w:r>
      <w:r w:rsidRPr="3323BE98">
        <w:rPr>
          <w:spacing w:val="-4"/>
          <w:sz w:val="24"/>
          <w:szCs w:val="24"/>
        </w:rPr>
        <w:t xml:space="preserve"> </w:t>
      </w:r>
      <w:r w:rsidRPr="3323BE98">
        <w:rPr>
          <w:sz w:val="24"/>
          <w:szCs w:val="24"/>
        </w:rPr>
        <w:t>to</w:t>
      </w:r>
      <w:r w:rsidRPr="3323BE98">
        <w:rPr>
          <w:spacing w:val="-5"/>
          <w:sz w:val="24"/>
          <w:szCs w:val="24"/>
        </w:rPr>
        <w:t xml:space="preserve"> </w:t>
      </w:r>
      <w:r w:rsidRPr="3323BE98">
        <w:rPr>
          <w:sz w:val="24"/>
          <w:szCs w:val="24"/>
        </w:rPr>
        <w:t>appeal</w:t>
      </w:r>
      <w:r w:rsidRPr="3323BE98">
        <w:rPr>
          <w:spacing w:val="-4"/>
          <w:sz w:val="24"/>
          <w:szCs w:val="24"/>
        </w:rPr>
        <w:t xml:space="preserve"> </w:t>
      </w:r>
      <w:r w:rsidRPr="3323BE98">
        <w:rPr>
          <w:sz w:val="24"/>
          <w:szCs w:val="24"/>
        </w:rPr>
        <w:t>a</w:t>
      </w:r>
      <w:r w:rsidRPr="3323BE98">
        <w:rPr>
          <w:spacing w:val="-4"/>
          <w:sz w:val="24"/>
          <w:szCs w:val="24"/>
        </w:rPr>
        <w:t xml:space="preserve"> </w:t>
      </w:r>
      <w:r w:rsidRPr="3323BE98">
        <w:rPr>
          <w:sz w:val="24"/>
          <w:szCs w:val="24"/>
        </w:rPr>
        <w:t>grade</w:t>
      </w:r>
      <w:r w:rsidRPr="3323BE98">
        <w:rPr>
          <w:spacing w:val="-4"/>
          <w:sz w:val="24"/>
          <w:szCs w:val="24"/>
        </w:rPr>
        <w:t xml:space="preserve"> </w:t>
      </w:r>
      <w:r w:rsidRPr="3323BE98">
        <w:rPr>
          <w:sz w:val="24"/>
          <w:szCs w:val="24"/>
        </w:rPr>
        <w:t>must</w:t>
      </w:r>
      <w:r w:rsidRPr="3323BE98">
        <w:rPr>
          <w:spacing w:val="-4"/>
          <w:sz w:val="24"/>
          <w:szCs w:val="24"/>
        </w:rPr>
        <w:t xml:space="preserve"> </w:t>
      </w:r>
      <w:r w:rsidRPr="3323BE98">
        <w:rPr>
          <w:sz w:val="24"/>
          <w:szCs w:val="24"/>
        </w:rPr>
        <w:t>follow</w:t>
      </w:r>
      <w:r w:rsidRPr="3323BE98">
        <w:rPr>
          <w:spacing w:val="-4"/>
          <w:sz w:val="24"/>
          <w:szCs w:val="24"/>
        </w:rPr>
        <w:t xml:space="preserve"> </w:t>
      </w:r>
      <w:r w:rsidRPr="3323BE98">
        <w:rPr>
          <w:sz w:val="24"/>
          <w:szCs w:val="24"/>
        </w:rPr>
        <w:t xml:space="preserve">the Grade Grievance procedures as outlined in the current </w:t>
      </w:r>
      <w:hyperlink r:id="rId11" w:history="1">
        <w:r w:rsidRPr="3323BE98">
          <w:rPr>
            <w:rStyle w:val="Hyperlink"/>
            <w:sz w:val="24"/>
            <w:szCs w:val="24"/>
          </w:rPr>
          <w:t>Undergraduate or Graduate Catalog</w:t>
        </w:r>
      </w:hyperlink>
      <w:r w:rsidRPr="3323BE98">
        <w:rPr>
          <w:sz w:val="24"/>
          <w:szCs w:val="24"/>
        </w:rPr>
        <w:t>.</w:t>
      </w:r>
    </w:p>
    <w:p w14:paraId="518A9C36" w14:textId="77777777" w:rsidR="00270B6F" w:rsidRDefault="3323BE98" w:rsidP="3323BE98">
      <w:pPr>
        <w:pStyle w:val="ListParagraph"/>
        <w:numPr>
          <w:ilvl w:val="2"/>
          <w:numId w:val="1"/>
        </w:numPr>
        <w:tabs>
          <w:tab w:val="left" w:pos="2278"/>
          <w:tab w:val="left" w:pos="2280"/>
        </w:tabs>
        <w:ind w:right="243"/>
        <w:rPr>
          <w:sz w:val="24"/>
          <w:szCs w:val="24"/>
        </w:rPr>
      </w:pPr>
      <w:r w:rsidRPr="3323BE98">
        <w:rPr>
          <w:sz w:val="24"/>
          <w:szCs w:val="24"/>
        </w:rPr>
        <w:t xml:space="preserve">Students wishing to submit a complaint concerning a student conduct violation should contact </w:t>
      </w:r>
      <w:hyperlink r:id="rId12" w:history="1">
        <w:r w:rsidRPr="3323BE98">
          <w:rPr>
            <w:rStyle w:val="Hyperlink"/>
            <w:sz w:val="24"/>
            <w:szCs w:val="24"/>
          </w:rPr>
          <w:t xml:space="preserve">the Office of </w:t>
        </w:r>
        <w:proofErr w:type="gramStart"/>
        <w:r w:rsidRPr="3323BE98">
          <w:rPr>
            <w:rStyle w:val="Hyperlink"/>
            <w:sz w:val="24"/>
            <w:szCs w:val="24"/>
          </w:rPr>
          <w:t>Student  Accountability</w:t>
        </w:r>
        <w:proofErr w:type="gramEnd"/>
        <w:r w:rsidRPr="3323BE98">
          <w:rPr>
            <w:rStyle w:val="Hyperlink"/>
            <w:sz w:val="24"/>
            <w:szCs w:val="24"/>
          </w:rPr>
          <w:t>, Standards and Education</w:t>
        </w:r>
      </w:hyperlink>
      <w:r w:rsidRPr="3323BE98">
        <w:rPr>
          <w:sz w:val="24"/>
          <w:szCs w:val="24"/>
        </w:rPr>
        <w:t xml:space="preserve">. </w:t>
      </w:r>
      <w:r w:rsidRPr="3323BE98">
        <w:rPr>
          <w:spacing w:val="40"/>
          <w:sz w:val="24"/>
          <w:szCs w:val="24"/>
        </w:rPr>
        <w:t>Such</w:t>
      </w:r>
      <w:r w:rsidRPr="3323BE98">
        <w:rPr>
          <w:sz w:val="24"/>
          <w:szCs w:val="24"/>
        </w:rPr>
        <w:t xml:space="preserve"> </w:t>
      </w:r>
      <w:r w:rsidRPr="3323BE98">
        <w:rPr>
          <w:spacing w:val="-5"/>
          <w:sz w:val="24"/>
          <w:szCs w:val="24"/>
        </w:rPr>
        <w:t>complaints</w:t>
      </w:r>
      <w:r w:rsidRPr="3323BE98">
        <w:rPr>
          <w:sz w:val="24"/>
          <w:szCs w:val="24"/>
        </w:rPr>
        <w:t xml:space="preserve"> </w:t>
      </w:r>
      <w:r w:rsidRPr="3323BE98">
        <w:rPr>
          <w:spacing w:val="-5"/>
          <w:sz w:val="24"/>
          <w:szCs w:val="24"/>
        </w:rPr>
        <w:t>may</w:t>
      </w:r>
      <w:r w:rsidRPr="3323BE98">
        <w:rPr>
          <w:sz w:val="24"/>
          <w:szCs w:val="24"/>
        </w:rPr>
        <w:t xml:space="preserve"> not be </w:t>
      </w:r>
      <w:proofErr w:type="gramStart"/>
      <w:r w:rsidRPr="3323BE98">
        <w:rPr>
          <w:sz w:val="24"/>
          <w:szCs w:val="24"/>
        </w:rPr>
        <w:t>appealed</w:t>
      </w:r>
      <w:proofErr w:type="gramEnd"/>
      <w:r w:rsidRPr="3323BE98">
        <w:rPr>
          <w:sz w:val="24"/>
          <w:szCs w:val="24"/>
        </w:rPr>
        <w:t xml:space="preserve"> outside of Kean University.</w:t>
      </w:r>
    </w:p>
    <w:p w14:paraId="5DAB6C7B" w14:textId="77777777" w:rsidR="00270B6F" w:rsidRDefault="00270B6F">
      <w:pPr>
        <w:pStyle w:val="ListParagraph"/>
        <w:rPr>
          <w:sz w:val="24"/>
        </w:rPr>
        <w:sectPr w:rsidR="00270B6F">
          <w:type w:val="continuous"/>
          <w:pgSz w:w="12240" w:h="15840"/>
          <w:pgMar w:top="1640" w:right="1440" w:bottom="280" w:left="1080" w:header="720" w:footer="720" w:gutter="0"/>
          <w:cols w:space="720"/>
        </w:sectPr>
      </w:pPr>
    </w:p>
    <w:p w14:paraId="7BF59EDB" w14:textId="77777777" w:rsidR="00270B6F" w:rsidRDefault="00EB5A6E">
      <w:pPr>
        <w:pStyle w:val="ListParagraph"/>
        <w:numPr>
          <w:ilvl w:val="1"/>
          <w:numId w:val="1"/>
        </w:numPr>
        <w:tabs>
          <w:tab w:val="left" w:pos="1557"/>
          <w:tab w:val="left" w:pos="1559"/>
        </w:tabs>
        <w:spacing w:before="244"/>
        <w:ind w:left="1559" w:right="409"/>
        <w:rPr>
          <w:sz w:val="24"/>
        </w:rPr>
      </w:pPr>
      <w:r>
        <w:rPr>
          <w:sz w:val="24"/>
        </w:rPr>
        <w:t>Students wishing to submit a complaint not addressed by Kean University published materials may submit such a complaint to the Office of the Provost and Senior Vice President for Academic Affairs. The complaint</w:t>
      </w:r>
      <w:r>
        <w:rPr>
          <w:spacing w:val="-3"/>
          <w:sz w:val="24"/>
        </w:rPr>
        <w:t xml:space="preserve"> </w:t>
      </w:r>
      <w:r>
        <w:rPr>
          <w:sz w:val="24"/>
        </w:rPr>
        <w:t>must</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facts</w:t>
      </w:r>
      <w:r>
        <w:rPr>
          <w:spacing w:val="-3"/>
          <w:sz w:val="24"/>
        </w:rPr>
        <w:t xml:space="preserve"> </w:t>
      </w:r>
      <w:r>
        <w:rPr>
          <w:sz w:val="24"/>
        </w:rPr>
        <w:t>and</w:t>
      </w:r>
      <w:r>
        <w:rPr>
          <w:spacing w:val="-3"/>
          <w:sz w:val="24"/>
        </w:rPr>
        <w:t xml:space="preserve"> </w:t>
      </w:r>
      <w:r>
        <w:rPr>
          <w:sz w:val="24"/>
        </w:rPr>
        <w:t>evidence</w:t>
      </w:r>
      <w:r>
        <w:rPr>
          <w:spacing w:val="-3"/>
          <w:sz w:val="24"/>
        </w:rPr>
        <w:t xml:space="preserve"> </w:t>
      </w:r>
      <w:r>
        <w:rPr>
          <w:sz w:val="24"/>
        </w:rPr>
        <w:t>supporting</w:t>
      </w:r>
      <w:r>
        <w:rPr>
          <w:spacing w:val="-3"/>
          <w:sz w:val="24"/>
        </w:rPr>
        <w:t xml:space="preserve"> </w:t>
      </w:r>
      <w:r>
        <w:rPr>
          <w:sz w:val="24"/>
        </w:rPr>
        <w:t>the</w:t>
      </w:r>
      <w:r>
        <w:rPr>
          <w:spacing w:val="-3"/>
          <w:sz w:val="24"/>
        </w:rPr>
        <w:t xml:space="preserve"> </w:t>
      </w:r>
      <w:r>
        <w:rPr>
          <w:sz w:val="24"/>
        </w:rPr>
        <w:t>complaint and indicate what redress the grievant seeks. The Office of the Provost and</w:t>
      </w:r>
      <w:r>
        <w:rPr>
          <w:spacing w:val="-4"/>
          <w:sz w:val="24"/>
        </w:rPr>
        <w:t xml:space="preserve"> </w:t>
      </w:r>
      <w:r>
        <w:rPr>
          <w:sz w:val="24"/>
        </w:rPr>
        <w:t>Senior</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for</w:t>
      </w:r>
      <w:r>
        <w:rPr>
          <w:spacing w:val="-4"/>
          <w:sz w:val="24"/>
        </w:rPr>
        <w:t xml:space="preserve"> </w:t>
      </w:r>
      <w:r>
        <w:rPr>
          <w:sz w:val="24"/>
        </w:rPr>
        <w:t>Academic</w:t>
      </w:r>
      <w:r>
        <w:rPr>
          <w:spacing w:val="-4"/>
          <w:sz w:val="24"/>
        </w:rPr>
        <w:t xml:space="preserve"> </w:t>
      </w:r>
      <w:r>
        <w:rPr>
          <w:sz w:val="24"/>
        </w:rPr>
        <w:t>Affairs</w:t>
      </w:r>
      <w:r>
        <w:rPr>
          <w:spacing w:val="-4"/>
          <w:sz w:val="24"/>
        </w:rPr>
        <w:t xml:space="preserve"> </w:t>
      </w:r>
      <w:r>
        <w:rPr>
          <w:sz w:val="24"/>
        </w:rPr>
        <w:t>will</w:t>
      </w:r>
      <w:r>
        <w:rPr>
          <w:spacing w:val="-4"/>
          <w:sz w:val="24"/>
        </w:rPr>
        <w:t xml:space="preserve"> </w:t>
      </w:r>
      <w:r>
        <w:rPr>
          <w:sz w:val="24"/>
        </w:rPr>
        <w:t>forward</w:t>
      </w:r>
      <w:r>
        <w:rPr>
          <w:spacing w:val="-4"/>
          <w:sz w:val="24"/>
        </w:rPr>
        <w:t xml:space="preserve"> </w:t>
      </w:r>
      <w:r>
        <w:rPr>
          <w:sz w:val="24"/>
        </w:rPr>
        <w:t>the</w:t>
      </w:r>
      <w:r>
        <w:rPr>
          <w:spacing w:val="-4"/>
          <w:sz w:val="24"/>
        </w:rPr>
        <w:t xml:space="preserve"> </w:t>
      </w:r>
      <w:r>
        <w:rPr>
          <w:sz w:val="24"/>
        </w:rPr>
        <w:t>complaint to the appropriate division or office, which will investigate the complaint and render a written decision within thirty days, a period which may be extended for good cause and with notice given to the</w:t>
      </w:r>
      <w:r>
        <w:rPr>
          <w:spacing w:val="-12"/>
          <w:sz w:val="24"/>
        </w:rPr>
        <w:t xml:space="preserve"> </w:t>
      </w:r>
      <w:r>
        <w:rPr>
          <w:sz w:val="24"/>
        </w:rPr>
        <w:t>affected parties. A written decision will be transmitted to both the grievant and the Provost and Seni</w:t>
      </w:r>
      <w:r>
        <w:rPr>
          <w:sz w:val="24"/>
        </w:rPr>
        <w:t>or Vice President for Academic Affairs.</w:t>
      </w:r>
    </w:p>
    <w:p w14:paraId="2702FCA2" w14:textId="77777777" w:rsidR="00270B6F" w:rsidRDefault="00EB5A6E">
      <w:pPr>
        <w:pStyle w:val="ListParagraph"/>
        <w:numPr>
          <w:ilvl w:val="1"/>
          <w:numId w:val="1"/>
        </w:numPr>
        <w:tabs>
          <w:tab w:val="left" w:pos="1557"/>
          <w:tab w:val="left" w:pos="1559"/>
        </w:tabs>
        <w:ind w:left="1559" w:right="181"/>
        <w:rPr>
          <w:sz w:val="24"/>
        </w:rPr>
      </w:pPr>
      <w:r>
        <w:rPr>
          <w:sz w:val="24"/>
        </w:rPr>
        <w:t>If a</w:t>
      </w:r>
      <w:r>
        <w:rPr>
          <w:spacing w:val="40"/>
          <w:sz w:val="24"/>
        </w:rPr>
        <w:t xml:space="preserve"> </w:t>
      </w:r>
      <w:r>
        <w:rPr>
          <w:sz w:val="24"/>
        </w:rPr>
        <w:t>student is not satisfied with the decision of the appropriate division or office, the student may appeal the decision to the appropriate Vice President. Such an appeal must be in writing and submitted to the appropriate Vice President within 15 days of the date the grievant received the written decision. The appropriate Vice President will review the written decision, conduct further investigation as necessary in the judgment of the appropriate Vice President, and issue a written decision to the grievant w</w:t>
      </w:r>
      <w:r>
        <w:rPr>
          <w:sz w:val="24"/>
        </w:rPr>
        <w:t>ithin</w:t>
      </w:r>
      <w:r>
        <w:rPr>
          <w:spacing w:val="-3"/>
          <w:sz w:val="24"/>
        </w:rPr>
        <w:t xml:space="preserve"> </w:t>
      </w:r>
      <w:r>
        <w:rPr>
          <w:sz w:val="24"/>
        </w:rPr>
        <w:t>thirty</w:t>
      </w:r>
      <w:r>
        <w:rPr>
          <w:spacing w:val="-3"/>
          <w:sz w:val="24"/>
        </w:rPr>
        <w:t xml:space="preserve"> </w:t>
      </w:r>
      <w:r>
        <w:rPr>
          <w:sz w:val="24"/>
        </w:rPr>
        <w:t>days,</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good</w:t>
      </w:r>
      <w:r>
        <w:rPr>
          <w:spacing w:val="-3"/>
          <w:sz w:val="24"/>
        </w:rPr>
        <w:t xml:space="preserve"> </w:t>
      </w:r>
      <w:r>
        <w:rPr>
          <w:sz w:val="24"/>
        </w:rPr>
        <w:t>cause</w:t>
      </w:r>
      <w:r>
        <w:rPr>
          <w:spacing w:val="-3"/>
          <w:sz w:val="24"/>
        </w:rPr>
        <w:t xml:space="preserve"> </w:t>
      </w:r>
      <w:r>
        <w:rPr>
          <w:sz w:val="24"/>
        </w:rPr>
        <w:t>and</w:t>
      </w:r>
      <w:r>
        <w:rPr>
          <w:spacing w:val="-3"/>
          <w:sz w:val="24"/>
        </w:rPr>
        <w:t xml:space="preserve"> </w:t>
      </w:r>
      <w:r>
        <w:rPr>
          <w:sz w:val="24"/>
        </w:rPr>
        <w:t>with notice given to the affected parties.</w:t>
      </w:r>
    </w:p>
    <w:p w14:paraId="42F168B2" w14:textId="77777777" w:rsidR="00270B6F" w:rsidRDefault="3323BE98" w:rsidP="3323BE98">
      <w:pPr>
        <w:pStyle w:val="ListParagraph"/>
        <w:numPr>
          <w:ilvl w:val="1"/>
          <w:numId w:val="1"/>
        </w:numPr>
        <w:tabs>
          <w:tab w:val="left" w:pos="1558"/>
          <w:tab w:val="left" w:pos="1560"/>
        </w:tabs>
        <w:spacing w:line="237" w:lineRule="auto"/>
        <w:ind w:right="748"/>
        <w:rPr>
          <w:sz w:val="24"/>
          <w:szCs w:val="24"/>
        </w:rPr>
      </w:pPr>
      <w:r w:rsidRPr="3323BE98">
        <w:rPr>
          <w:sz w:val="24"/>
          <w:szCs w:val="24"/>
        </w:rPr>
        <w:t>If a student has submitted a complaint and is not satisfied with the outcome of Kean University internal procedures with respect to such complaint,</w:t>
      </w:r>
      <w:r w:rsidRPr="3323BE98">
        <w:rPr>
          <w:spacing w:val="-4"/>
          <w:sz w:val="24"/>
          <w:szCs w:val="24"/>
        </w:rPr>
        <w:t xml:space="preserve"> </w:t>
      </w:r>
      <w:r w:rsidRPr="3323BE98">
        <w:rPr>
          <w:sz w:val="24"/>
          <w:szCs w:val="24"/>
        </w:rPr>
        <w:t>the</w:t>
      </w:r>
      <w:r w:rsidRPr="3323BE98">
        <w:rPr>
          <w:spacing w:val="40"/>
          <w:sz w:val="24"/>
          <w:szCs w:val="24"/>
        </w:rPr>
        <w:t xml:space="preserve"> </w:t>
      </w:r>
      <w:r w:rsidRPr="3323BE98">
        <w:rPr>
          <w:sz w:val="24"/>
          <w:szCs w:val="24"/>
        </w:rPr>
        <w:t>student</w:t>
      </w:r>
      <w:r w:rsidRPr="3323BE98">
        <w:rPr>
          <w:spacing w:val="-4"/>
          <w:sz w:val="24"/>
          <w:szCs w:val="24"/>
        </w:rPr>
        <w:t xml:space="preserve"> </w:t>
      </w:r>
      <w:r w:rsidRPr="3323BE98">
        <w:rPr>
          <w:sz w:val="24"/>
          <w:szCs w:val="24"/>
        </w:rPr>
        <w:t>may</w:t>
      </w:r>
      <w:r w:rsidRPr="3323BE98">
        <w:rPr>
          <w:spacing w:val="-4"/>
          <w:sz w:val="24"/>
          <w:szCs w:val="24"/>
        </w:rPr>
        <w:t xml:space="preserve"> </w:t>
      </w:r>
      <w:r w:rsidRPr="3323BE98">
        <w:rPr>
          <w:sz w:val="24"/>
          <w:szCs w:val="24"/>
        </w:rPr>
        <w:t>submit</w:t>
      </w:r>
      <w:r w:rsidRPr="3323BE98">
        <w:rPr>
          <w:spacing w:val="-3"/>
          <w:sz w:val="24"/>
          <w:szCs w:val="24"/>
        </w:rPr>
        <w:t xml:space="preserve"> </w:t>
      </w:r>
      <w:r w:rsidRPr="3323BE98">
        <w:rPr>
          <w:sz w:val="24"/>
          <w:szCs w:val="24"/>
        </w:rPr>
        <w:t>an</w:t>
      </w:r>
      <w:r w:rsidRPr="3323BE98">
        <w:rPr>
          <w:spacing w:val="-4"/>
          <w:sz w:val="24"/>
          <w:szCs w:val="24"/>
        </w:rPr>
        <w:t xml:space="preserve"> </w:t>
      </w:r>
      <w:r w:rsidRPr="3323BE98">
        <w:rPr>
          <w:sz w:val="24"/>
          <w:szCs w:val="24"/>
        </w:rPr>
        <w:t>appeal</w:t>
      </w:r>
      <w:r w:rsidRPr="3323BE98">
        <w:rPr>
          <w:spacing w:val="-4"/>
          <w:sz w:val="24"/>
          <w:szCs w:val="24"/>
        </w:rPr>
        <w:t xml:space="preserve"> </w:t>
      </w:r>
      <w:r w:rsidRPr="3323BE98">
        <w:rPr>
          <w:sz w:val="24"/>
          <w:szCs w:val="24"/>
        </w:rPr>
        <w:t>to</w:t>
      </w:r>
      <w:r w:rsidRPr="3323BE98">
        <w:rPr>
          <w:spacing w:val="-4"/>
          <w:sz w:val="24"/>
          <w:szCs w:val="24"/>
        </w:rPr>
        <w:t xml:space="preserve"> </w:t>
      </w:r>
      <w:r w:rsidRPr="3323BE98">
        <w:rPr>
          <w:sz w:val="24"/>
          <w:szCs w:val="24"/>
        </w:rPr>
        <w:t>NJOSHE</w:t>
      </w:r>
      <w:r w:rsidRPr="3323BE98">
        <w:rPr>
          <w:spacing w:val="-4"/>
          <w:sz w:val="24"/>
          <w:szCs w:val="24"/>
        </w:rPr>
        <w:t xml:space="preserve"> </w:t>
      </w:r>
      <w:r w:rsidRPr="3323BE98">
        <w:rPr>
          <w:sz w:val="24"/>
          <w:szCs w:val="24"/>
        </w:rPr>
        <w:t>pursuant</w:t>
      </w:r>
      <w:r w:rsidRPr="3323BE98">
        <w:rPr>
          <w:spacing w:val="-4"/>
          <w:sz w:val="24"/>
          <w:szCs w:val="24"/>
        </w:rPr>
        <w:t xml:space="preserve"> </w:t>
      </w:r>
      <w:r w:rsidRPr="3323BE98">
        <w:rPr>
          <w:sz w:val="24"/>
          <w:szCs w:val="24"/>
        </w:rPr>
        <w:t xml:space="preserve">to the procedures outlined in Section 4.5 of the </w:t>
      </w:r>
      <w:hyperlink r:id="rId13" w:history="1">
        <w:r w:rsidRPr="3323BE98">
          <w:rPr>
            <w:rStyle w:val="Hyperlink"/>
            <w:sz w:val="24"/>
            <w:szCs w:val="24"/>
          </w:rPr>
          <w:t>SARA Policy Manual</w:t>
        </w:r>
      </w:hyperlink>
      <w:r w:rsidRPr="3323BE98">
        <w:rPr>
          <w:color w:val="006FC0"/>
          <w:sz w:val="24"/>
          <w:szCs w:val="24"/>
        </w:rPr>
        <w:t>.</w:t>
      </w:r>
    </w:p>
    <w:p w14:paraId="02EB378F" w14:textId="77777777" w:rsidR="00270B6F" w:rsidRDefault="00270B6F">
      <w:pPr>
        <w:pStyle w:val="BodyText"/>
        <w:rPr>
          <w:sz w:val="20"/>
        </w:rPr>
      </w:pPr>
    </w:p>
    <w:p w14:paraId="6A05A809" w14:textId="77777777" w:rsidR="00270B6F" w:rsidRDefault="00270B6F">
      <w:pPr>
        <w:pStyle w:val="BodyText"/>
        <w:rPr>
          <w:sz w:val="20"/>
        </w:rPr>
      </w:pPr>
    </w:p>
    <w:p w14:paraId="5A39BBE3" w14:textId="77777777" w:rsidR="00270B6F" w:rsidRDefault="00270B6F">
      <w:pPr>
        <w:pStyle w:val="BodyText"/>
        <w:rPr>
          <w:sz w:val="20"/>
        </w:rPr>
      </w:pPr>
    </w:p>
    <w:p w14:paraId="41C8F396" w14:textId="77777777" w:rsidR="00270B6F" w:rsidRDefault="00270B6F">
      <w:pPr>
        <w:pStyle w:val="BodyText"/>
        <w:rPr>
          <w:sz w:val="20"/>
        </w:rPr>
      </w:pPr>
    </w:p>
    <w:p w14:paraId="72A3D3EC" w14:textId="77777777" w:rsidR="00270B6F" w:rsidRDefault="00270B6F">
      <w:pPr>
        <w:pStyle w:val="BodyText"/>
        <w:rPr>
          <w:sz w:val="20"/>
        </w:rPr>
      </w:pPr>
    </w:p>
    <w:p w14:paraId="0D0B940D" w14:textId="77777777" w:rsidR="00270B6F" w:rsidRDefault="00270B6F">
      <w:pPr>
        <w:pStyle w:val="BodyText"/>
        <w:rPr>
          <w:sz w:val="20"/>
        </w:rPr>
      </w:pPr>
    </w:p>
    <w:p w14:paraId="0E27B00A" w14:textId="77777777" w:rsidR="00270B6F" w:rsidRDefault="00270B6F">
      <w:pPr>
        <w:pStyle w:val="BodyText"/>
        <w:rPr>
          <w:sz w:val="20"/>
        </w:rPr>
      </w:pPr>
    </w:p>
    <w:p w14:paraId="60061E4C" w14:textId="77777777" w:rsidR="00270B6F" w:rsidRDefault="00270B6F">
      <w:pPr>
        <w:pStyle w:val="BodyText"/>
        <w:rPr>
          <w:sz w:val="20"/>
        </w:rPr>
      </w:pPr>
    </w:p>
    <w:p w14:paraId="44EAFD9C" w14:textId="77777777" w:rsidR="00270B6F" w:rsidRDefault="00270B6F">
      <w:pPr>
        <w:pStyle w:val="BodyText"/>
        <w:rPr>
          <w:sz w:val="20"/>
        </w:rPr>
      </w:pPr>
    </w:p>
    <w:p w14:paraId="4B94D5A5" w14:textId="77777777" w:rsidR="00270B6F" w:rsidRDefault="00270B6F">
      <w:pPr>
        <w:pStyle w:val="BodyText"/>
        <w:rPr>
          <w:sz w:val="20"/>
        </w:rPr>
      </w:pPr>
    </w:p>
    <w:p w14:paraId="3DEEC669" w14:textId="77777777" w:rsidR="00270B6F" w:rsidRDefault="00270B6F">
      <w:pPr>
        <w:pStyle w:val="BodyText"/>
        <w:rPr>
          <w:sz w:val="20"/>
        </w:rPr>
      </w:pPr>
    </w:p>
    <w:p w14:paraId="3656B9AB" w14:textId="77777777" w:rsidR="00270B6F" w:rsidRDefault="00270B6F">
      <w:pPr>
        <w:pStyle w:val="BodyText"/>
        <w:rPr>
          <w:sz w:val="20"/>
        </w:rPr>
      </w:pPr>
    </w:p>
    <w:p w14:paraId="45FB0818" w14:textId="77777777" w:rsidR="00270B6F" w:rsidRDefault="00270B6F">
      <w:pPr>
        <w:pStyle w:val="BodyText"/>
        <w:rPr>
          <w:sz w:val="20"/>
        </w:rPr>
      </w:pPr>
    </w:p>
    <w:p w14:paraId="049F31CB" w14:textId="77777777" w:rsidR="00270B6F" w:rsidRDefault="00270B6F">
      <w:pPr>
        <w:pStyle w:val="BodyText"/>
        <w:rPr>
          <w:sz w:val="20"/>
        </w:rPr>
      </w:pPr>
    </w:p>
    <w:p w14:paraId="53128261" w14:textId="77777777" w:rsidR="00270B6F" w:rsidRDefault="00270B6F">
      <w:pPr>
        <w:pStyle w:val="BodyText"/>
        <w:rPr>
          <w:sz w:val="20"/>
        </w:rPr>
      </w:pPr>
    </w:p>
    <w:p w14:paraId="62486C05" w14:textId="77777777" w:rsidR="00270B6F" w:rsidRDefault="00270B6F">
      <w:pPr>
        <w:pStyle w:val="BodyText"/>
        <w:rPr>
          <w:sz w:val="20"/>
        </w:rPr>
      </w:pPr>
    </w:p>
    <w:p w14:paraId="4101652C" w14:textId="77777777" w:rsidR="00270B6F" w:rsidRDefault="00270B6F">
      <w:pPr>
        <w:pStyle w:val="BodyText"/>
        <w:rPr>
          <w:sz w:val="20"/>
        </w:rPr>
      </w:pPr>
    </w:p>
    <w:p w14:paraId="4B99056E" w14:textId="77777777" w:rsidR="00270B6F" w:rsidRDefault="00270B6F">
      <w:pPr>
        <w:pStyle w:val="BodyText"/>
        <w:rPr>
          <w:sz w:val="20"/>
        </w:rPr>
      </w:pPr>
    </w:p>
    <w:p w14:paraId="1299C43A" w14:textId="77777777" w:rsidR="00270B6F" w:rsidRDefault="00270B6F">
      <w:pPr>
        <w:pStyle w:val="BodyText"/>
        <w:rPr>
          <w:sz w:val="20"/>
        </w:rPr>
      </w:pPr>
    </w:p>
    <w:p w14:paraId="4DDBEF00" w14:textId="77777777" w:rsidR="00270B6F" w:rsidRDefault="00270B6F">
      <w:pPr>
        <w:pStyle w:val="BodyText"/>
        <w:rPr>
          <w:sz w:val="20"/>
        </w:rPr>
      </w:pPr>
    </w:p>
    <w:p w14:paraId="3461D779" w14:textId="77777777" w:rsidR="00270B6F" w:rsidRDefault="00270B6F">
      <w:pPr>
        <w:pStyle w:val="BodyText"/>
        <w:rPr>
          <w:sz w:val="20"/>
        </w:rPr>
      </w:pPr>
    </w:p>
    <w:p w14:paraId="3CF2D8B6" w14:textId="77777777" w:rsidR="00270B6F" w:rsidRDefault="00270B6F">
      <w:pPr>
        <w:pStyle w:val="BodyText"/>
        <w:rPr>
          <w:sz w:val="20"/>
        </w:rPr>
      </w:pPr>
    </w:p>
    <w:p w14:paraId="0FB78278" w14:textId="77777777" w:rsidR="00270B6F" w:rsidRDefault="00270B6F">
      <w:pPr>
        <w:pStyle w:val="BodyText"/>
        <w:rPr>
          <w:sz w:val="20"/>
        </w:rPr>
      </w:pPr>
    </w:p>
    <w:p w14:paraId="1FC39945" w14:textId="77777777" w:rsidR="00270B6F" w:rsidRDefault="00270B6F">
      <w:pPr>
        <w:pStyle w:val="BodyText"/>
        <w:spacing w:before="126"/>
        <w:rPr>
          <w:sz w:val="20"/>
        </w:rPr>
      </w:pPr>
    </w:p>
    <w:p w14:paraId="3726F959" w14:textId="77777777" w:rsidR="00270B6F" w:rsidRDefault="00EB5A6E">
      <w:pPr>
        <w:tabs>
          <w:tab w:val="left" w:pos="8661"/>
        </w:tabs>
        <w:ind w:left="41"/>
        <w:rPr>
          <w:rFonts w:ascii="Calibri"/>
          <w:i/>
          <w:sz w:val="20"/>
        </w:rPr>
      </w:pPr>
      <w:r>
        <w:rPr>
          <w:rFonts w:ascii="Calibri"/>
          <w:i/>
          <w:sz w:val="20"/>
        </w:rPr>
        <w:t>Last</w:t>
      </w:r>
      <w:r>
        <w:rPr>
          <w:rFonts w:ascii="Calibri"/>
          <w:i/>
          <w:spacing w:val="-5"/>
          <w:sz w:val="20"/>
        </w:rPr>
        <w:t xml:space="preserve"> </w:t>
      </w:r>
      <w:r>
        <w:rPr>
          <w:rFonts w:ascii="Calibri"/>
          <w:i/>
          <w:sz w:val="20"/>
        </w:rPr>
        <w:t>Update</w:t>
      </w:r>
      <w:r>
        <w:rPr>
          <w:rFonts w:ascii="Calibri"/>
          <w:i/>
          <w:spacing w:val="-4"/>
          <w:sz w:val="20"/>
        </w:rPr>
        <w:t xml:space="preserve"> </w:t>
      </w:r>
      <w:r>
        <w:rPr>
          <w:rFonts w:ascii="Calibri"/>
          <w:i/>
          <w:sz w:val="20"/>
        </w:rPr>
        <w:t>on:</w:t>
      </w:r>
      <w:r>
        <w:rPr>
          <w:rFonts w:ascii="Calibri"/>
          <w:i/>
          <w:spacing w:val="-3"/>
          <w:sz w:val="20"/>
        </w:rPr>
        <w:t xml:space="preserve"> </w:t>
      </w:r>
      <w:r>
        <w:rPr>
          <w:rFonts w:ascii="Calibri"/>
          <w:i/>
          <w:spacing w:val="-2"/>
          <w:sz w:val="20"/>
        </w:rPr>
        <w:t>07/15/2025</w:t>
      </w:r>
      <w:r>
        <w:rPr>
          <w:rFonts w:ascii="Calibri"/>
          <w:i/>
          <w:sz w:val="20"/>
        </w:rPr>
        <w:tab/>
        <w:t>Page</w:t>
      </w:r>
      <w:r>
        <w:rPr>
          <w:rFonts w:ascii="Calibri"/>
          <w:i/>
          <w:spacing w:val="-4"/>
          <w:sz w:val="20"/>
        </w:rPr>
        <w:t xml:space="preserve"> </w:t>
      </w:r>
      <w:r>
        <w:rPr>
          <w:rFonts w:ascii="Calibri"/>
          <w:i/>
          <w:sz w:val="20"/>
        </w:rPr>
        <w:t>2</w:t>
      </w:r>
      <w:r>
        <w:rPr>
          <w:rFonts w:ascii="Calibri"/>
          <w:i/>
          <w:spacing w:val="-2"/>
          <w:sz w:val="20"/>
        </w:rPr>
        <w:t xml:space="preserve"> </w:t>
      </w:r>
      <w:r>
        <w:rPr>
          <w:rFonts w:ascii="Calibri"/>
          <w:i/>
          <w:sz w:val="20"/>
        </w:rPr>
        <w:t>of</w:t>
      </w:r>
      <w:r>
        <w:rPr>
          <w:rFonts w:ascii="Calibri"/>
          <w:i/>
          <w:spacing w:val="-2"/>
          <w:sz w:val="20"/>
        </w:rPr>
        <w:t xml:space="preserve"> </w:t>
      </w:r>
      <w:r>
        <w:rPr>
          <w:rFonts w:ascii="Calibri"/>
          <w:i/>
          <w:spacing w:val="-10"/>
          <w:sz w:val="20"/>
        </w:rPr>
        <w:t>2</w:t>
      </w:r>
    </w:p>
    <w:sectPr w:rsidR="00270B6F">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F317"/>
    <w:multiLevelType w:val="hybridMultilevel"/>
    <w:tmpl w:val="1C6A55FC"/>
    <w:lvl w:ilvl="0" w:tplc="2CB0D75C">
      <w:start w:val="1"/>
      <w:numFmt w:val="upperRoman"/>
      <w:lvlText w:val="%1."/>
      <w:lvlJc w:val="left"/>
      <w:pPr>
        <w:ind w:left="1200" w:hanging="360"/>
      </w:pPr>
      <w:rPr>
        <w:rFonts w:ascii="Times New Roman" w:eastAsia="Times New Roman" w:hAnsi="Times New Roman" w:cs="Times New Roman" w:hint="default"/>
        <w:b/>
        <w:bCs/>
        <w:i w:val="0"/>
        <w:iCs w:val="0"/>
        <w:spacing w:val="0"/>
        <w:w w:val="98"/>
        <w:sz w:val="24"/>
        <w:szCs w:val="24"/>
        <w:lang w:val="en-US" w:eastAsia="en-US" w:bidi="ar-SA"/>
      </w:rPr>
    </w:lvl>
    <w:lvl w:ilvl="1" w:tplc="A0E4E73E">
      <w:start w:val="1"/>
      <w:numFmt w:val="upperLetter"/>
      <w:lvlText w:val="%2."/>
      <w:lvlJc w:val="left"/>
      <w:pPr>
        <w:ind w:left="1560" w:hanging="360"/>
      </w:pPr>
      <w:rPr>
        <w:rFonts w:ascii="Times New Roman" w:eastAsia="Times New Roman" w:hAnsi="Times New Roman" w:cs="Times New Roman" w:hint="default"/>
        <w:b w:val="0"/>
        <w:bCs w:val="0"/>
        <w:i w:val="0"/>
        <w:iCs w:val="0"/>
        <w:spacing w:val="-1"/>
        <w:w w:val="98"/>
        <w:sz w:val="24"/>
        <w:szCs w:val="24"/>
        <w:lang w:val="en-US" w:eastAsia="en-US" w:bidi="ar-SA"/>
      </w:rPr>
    </w:lvl>
    <w:lvl w:ilvl="2" w:tplc="BBAAF932">
      <w:start w:val="1"/>
      <w:numFmt w:val="decimal"/>
      <w:lvlText w:val="%3."/>
      <w:lvlJc w:val="left"/>
      <w:pPr>
        <w:ind w:left="2280" w:hanging="360"/>
      </w:pPr>
      <w:rPr>
        <w:rFonts w:ascii="Times New Roman" w:eastAsia="Times New Roman" w:hAnsi="Times New Roman" w:cs="Times New Roman" w:hint="default"/>
        <w:b w:val="0"/>
        <w:bCs w:val="0"/>
        <w:i w:val="0"/>
        <w:iCs w:val="0"/>
        <w:spacing w:val="-4"/>
        <w:w w:val="98"/>
        <w:sz w:val="24"/>
        <w:szCs w:val="24"/>
        <w:lang w:val="en-US" w:eastAsia="en-US" w:bidi="ar-SA"/>
      </w:rPr>
    </w:lvl>
    <w:lvl w:ilvl="3" w:tplc="93744F0A">
      <w:numFmt w:val="bullet"/>
      <w:lvlText w:val="•"/>
      <w:lvlJc w:val="left"/>
      <w:pPr>
        <w:ind w:left="3210" w:hanging="360"/>
      </w:pPr>
      <w:rPr>
        <w:rFonts w:hint="default"/>
        <w:lang w:val="en-US" w:eastAsia="en-US" w:bidi="ar-SA"/>
      </w:rPr>
    </w:lvl>
    <w:lvl w:ilvl="4" w:tplc="C5F01A58">
      <w:numFmt w:val="bullet"/>
      <w:lvlText w:val="•"/>
      <w:lvlJc w:val="left"/>
      <w:pPr>
        <w:ind w:left="4140" w:hanging="360"/>
      </w:pPr>
      <w:rPr>
        <w:rFonts w:hint="default"/>
        <w:lang w:val="en-US" w:eastAsia="en-US" w:bidi="ar-SA"/>
      </w:rPr>
    </w:lvl>
    <w:lvl w:ilvl="5" w:tplc="2814C9A8">
      <w:numFmt w:val="bullet"/>
      <w:lvlText w:val="•"/>
      <w:lvlJc w:val="left"/>
      <w:pPr>
        <w:ind w:left="5070" w:hanging="360"/>
      </w:pPr>
      <w:rPr>
        <w:rFonts w:hint="default"/>
        <w:lang w:val="en-US" w:eastAsia="en-US" w:bidi="ar-SA"/>
      </w:rPr>
    </w:lvl>
    <w:lvl w:ilvl="6" w:tplc="A4FE1426">
      <w:numFmt w:val="bullet"/>
      <w:lvlText w:val="•"/>
      <w:lvlJc w:val="left"/>
      <w:pPr>
        <w:ind w:left="6000" w:hanging="360"/>
      </w:pPr>
      <w:rPr>
        <w:rFonts w:hint="default"/>
        <w:lang w:val="en-US" w:eastAsia="en-US" w:bidi="ar-SA"/>
      </w:rPr>
    </w:lvl>
    <w:lvl w:ilvl="7" w:tplc="739C853C">
      <w:numFmt w:val="bullet"/>
      <w:lvlText w:val="•"/>
      <w:lvlJc w:val="left"/>
      <w:pPr>
        <w:ind w:left="6930" w:hanging="360"/>
      </w:pPr>
      <w:rPr>
        <w:rFonts w:hint="default"/>
        <w:lang w:val="en-US" w:eastAsia="en-US" w:bidi="ar-SA"/>
      </w:rPr>
    </w:lvl>
    <w:lvl w:ilvl="8" w:tplc="F1747EE2">
      <w:numFmt w:val="bullet"/>
      <w:lvlText w:val="•"/>
      <w:lvlJc w:val="left"/>
      <w:pPr>
        <w:ind w:left="7860" w:hanging="360"/>
      </w:pPr>
      <w:rPr>
        <w:rFonts w:hint="default"/>
        <w:lang w:val="en-US" w:eastAsia="en-US" w:bidi="ar-SA"/>
      </w:rPr>
    </w:lvl>
  </w:abstractNum>
  <w:num w:numId="1" w16cid:durableId="97861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2090EFE4"/>
    <w:rsid w:val="000514BA"/>
    <w:rsid w:val="001059B5"/>
    <w:rsid w:val="00193CDA"/>
    <w:rsid w:val="00270B6F"/>
    <w:rsid w:val="00335FEC"/>
    <w:rsid w:val="00340D35"/>
    <w:rsid w:val="0052107F"/>
    <w:rsid w:val="005B4FE0"/>
    <w:rsid w:val="00854134"/>
    <w:rsid w:val="00872539"/>
    <w:rsid w:val="00883FF8"/>
    <w:rsid w:val="008F3541"/>
    <w:rsid w:val="00935B38"/>
    <w:rsid w:val="00937A7D"/>
    <w:rsid w:val="00D256AF"/>
    <w:rsid w:val="00DE437C"/>
    <w:rsid w:val="00EB5A6E"/>
    <w:rsid w:val="2090EFE4"/>
    <w:rsid w:val="26A9BCC5"/>
    <w:rsid w:val="3323BE98"/>
    <w:rsid w:val="6ABCF391"/>
    <w:rsid w:val="6C52D9F7"/>
    <w:rsid w:val="78CA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353E"/>
  <w15:docId w15:val="{269C5072-7CA0-406C-BD4F-38386A0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2"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2"/>
      <w:ind w:left="482" w:right="5"/>
      <w:jc w:val="center"/>
    </w:pPr>
    <w:rPr>
      <w:b/>
      <w:bCs/>
      <w:sz w:val="28"/>
      <w:szCs w:val="28"/>
      <w:u w:val="single" w:color="000000"/>
    </w:rPr>
  </w:style>
  <w:style w:type="paragraph" w:styleId="ListParagraph">
    <w:name w:val="List Paragraph"/>
    <w:basedOn w:val="Normal"/>
    <w:uiPriority w:val="1"/>
    <w:qFormat/>
    <w:pPr>
      <w:spacing w:before="275"/>
      <w:ind w:left="15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3323BE98"/>
    <w:rPr>
      <w:color w:val="0000FF"/>
      <w:u w:val="single"/>
    </w:rPr>
  </w:style>
  <w:style w:type="character" w:styleId="FollowedHyperlink">
    <w:name w:val="FollowedHyperlink"/>
    <w:basedOn w:val="DefaultParagraphFont"/>
    <w:uiPriority w:val="99"/>
    <w:semiHidden/>
    <w:unhideWhenUsed/>
    <w:rsid w:val="008F3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ean.smartcatalogiq.com/" TargetMode="External"/><Relationship Id="rId13" Type="http://schemas.openxmlformats.org/officeDocument/2006/relationships/hyperlink" Target="https://nc-sara.org/resources/sara-policy-manual-251/" TargetMode="External"/><Relationship Id="rId3" Type="http://schemas.openxmlformats.org/officeDocument/2006/relationships/settings" Target="settings.xml"/><Relationship Id="rId7" Type="http://schemas.openxmlformats.org/officeDocument/2006/relationships/hyperlink" Target="https://www.kean.edu/offices/academic-affairs/catalog" TargetMode="External"/><Relationship Id="rId12" Type="http://schemas.openxmlformats.org/officeDocument/2006/relationships/hyperlink" Target="https://www.kean.edu/S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sara.org/resources/sara-policy-manual-251/" TargetMode="External"/><Relationship Id="rId11" Type="http://schemas.openxmlformats.org/officeDocument/2006/relationships/hyperlink" Target="https://www.kean.edu/offices/academic-affairs/catalo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kean.smartcatalogiq.com/" TargetMode="External"/><Relationship Id="rId4" Type="http://schemas.openxmlformats.org/officeDocument/2006/relationships/webSettings" Target="webSettings.xml"/><Relationship Id="rId9" Type="http://schemas.openxmlformats.org/officeDocument/2006/relationships/hyperlink" Target="http://kean.smartcatalogiq.com/en/2017-2018/Undergraduate-Catalog/Academic-Standards-Policies-and-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611</Words>
  <Characters>3487</Characters>
  <Application>Microsoft Office Word</Application>
  <DocSecurity>4</DocSecurity>
  <Lines>29</Lines>
  <Paragraphs>8</Paragraphs>
  <ScaleCrop>false</ScaleCrop>
  <Company/>
  <LinksUpToDate>false</LinksUpToDate>
  <CharactersWithSpaces>4090</CharactersWithSpaces>
  <SharedDoc>false</SharedDoc>
  <HLinks>
    <vt:vector size="48" baseType="variant">
      <vt:variant>
        <vt:i4>1769542</vt:i4>
      </vt:variant>
      <vt:variant>
        <vt:i4>21</vt:i4>
      </vt:variant>
      <vt:variant>
        <vt:i4>0</vt:i4>
      </vt:variant>
      <vt:variant>
        <vt:i4>5</vt:i4>
      </vt:variant>
      <vt:variant>
        <vt:lpwstr>https://nc-sara.org/resources/sara-policy-manual-251/</vt:lpwstr>
      </vt:variant>
      <vt:variant>
        <vt:lpwstr/>
      </vt:variant>
      <vt:variant>
        <vt:i4>5439566</vt:i4>
      </vt:variant>
      <vt:variant>
        <vt:i4>18</vt:i4>
      </vt:variant>
      <vt:variant>
        <vt:i4>0</vt:i4>
      </vt:variant>
      <vt:variant>
        <vt:i4>5</vt:i4>
      </vt:variant>
      <vt:variant>
        <vt:lpwstr>https://www.kean.edu/SASE</vt:lpwstr>
      </vt:variant>
      <vt:variant>
        <vt:lpwstr/>
      </vt:variant>
      <vt:variant>
        <vt:i4>6160389</vt:i4>
      </vt:variant>
      <vt:variant>
        <vt:i4>15</vt:i4>
      </vt:variant>
      <vt:variant>
        <vt:i4>0</vt:i4>
      </vt:variant>
      <vt:variant>
        <vt:i4>5</vt:i4>
      </vt:variant>
      <vt:variant>
        <vt:lpwstr>https://www.kean.edu/offices/academic-affairs/catalog</vt:lpwstr>
      </vt:variant>
      <vt:variant>
        <vt:lpwstr/>
      </vt:variant>
      <vt:variant>
        <vt:i4>1310744</vt:i4>
      </vt:variant>
      <vt:variant>
        <vt:i4>12</vt:i4>
      </vt:variant>
      <vt:variant>
        <vt:i4>0</vt:i4>
      </vt:variant>
      <vt:variant>
        <vt:i4>5</vt:i4>
      </vt:variant>
      <vt:variant>
        <vt:lpwstr>https://kean.smartcatalogiq.com/</vt:lpwstr>
      </vt:variant>
      <vt:variant>
        <vt:lpwstr/>
      </vt:variant>
      <vt:variant>
        <vt:i4>852041</vt:i4>
      </vt:variant>
      <vt:variant>
        <vt:i4>9</vt:i4>
      </vt:variant>
      <vt:variant>
        <vt:i4>0</vt:i4>
      </vt:variant>
      <vt:variant>
        <vt:i4>5</vt:i4>
      </vt:variant>
      <vt:variant>
        <vt:lpwstr>http://kean.smartcatalogiq.com/en/2017-2018/Undergraduate-Catalog/Academic-Standards-Policies-and-Procedures</vt:lpwstr>
      </vt:variant>
      <vt:variant>
        <vt:lpwstr/>
      </vt:variant>
      <vt:variant>
        <vt:i4>1310744</vt:i4>
      </vt:variant>
      <vt:variant>
        <vt:i4>6</vt:i4>
      </vt:variant>
      <vt:variant>
        <vt:i4>0</vt:i4>
      </vt:variant>
      <vt:variant>
        <vt:i4>5</vt:i4>
      </vt:variant>
      <vt:variant>
        <vt:lpwstr>https://kean.smartcatalogiq.com/</vt:lpwstr>
      </vt:variant>
      <vt:variant>
        <vt:lpwstr/>
      </vt:variant>
      <vt:variant>
        <vt:i4>6160389</vt:i4>
      </vt:variant>
      <vt:variant>
        <vt:i4>3</vt:i4>
      </vt:variant>
      <vt:variant>
        <vt:i4>0</vt:i4>
      </vt:variant>
      <vt:variant>
        <vt:i4>5</vt:i4>
      </vt:variant>
      <vt:variant>
        <vt:lpwstr>https://www.kean.edu/offices/academic-affairs/catalog</vt:lpwstr>
      </vt:variant>
      <vt:variant>
        <vt:lpwstr/>
      </vt:variant>
      <vt:variant>
        <vt:i4>1769542</vt:i4>
      </vt:variant>
      <vt:variant>
        <vt:i4>0</vt:i4>
      </vt:variant>
      <vt:variant>
        <vt:i4>0</vt:i4>
      </vt:variant>
      <vt:variant>
        <vt:i4>5</vt:i4>
      </vt:variant>
      <vt:variant>
        <vt:lpwstr>https://nc-sara.org/resources/sara-policy-manual-251/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Kean Global NC-SARA Policy - 25SP</dc:title>
  <dc:subject/>
  <dc:creator>macharya</dc:creator>
  <cp:keywords/>
  <cp:lastModifiedBy>Joy Moskovitz</cp:lastModifiedBy>
  <cp:revision>11</cp:revision>
  <dcterms:created xsi:type="dcterms:W3CDTF">2025-07-17T12:06:00Z</dcterms:created>
  <dcterms:modified xsi:type="dcterms:W3CDTF">2025-07-17T19:39:00Z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PScript5.dll Version 5.2.2</vt:lpwstr>
  </property>
  <property fmtid="{D5CDD505-2E9C-101B-9397-08002B2CF9AE}" pid="4" name="LastSaved">
    <vt:filetime>2025-07-17T00:00:00Z</vt:filetime>
  </property>
  <property fmtid="{D5CDD505-2E9C-101B-9397-08002B2CF9AE}" pid="5" name="Producer">
    <vt:lpwstr>Acrobat Distiller 25.0 (Windows)</vt:lpwstr>
  </property>
</Properties>
</file>